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736196B0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STAGE</w:t>
      </w:r>
      <w:r w:rsidR="00794965">
        <w:rPr>
          <w:rFonts w:asciiTheme="minorHAnsi" w:hAnsiTheme="minorHAnsi"/>
          <w:b/>
          <w:sz w:val="24"/>
          <w:szCs w:val="24"/>
          <w:lang w:val="en-GB"/>
        </w:rPr>
        <w:t>:</w:t>
      </w:r>
      <w:r w:rsidR="000A1675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5E1926">
        <w:rPr>
          <w:rFonts w:asciiTheme="minorHAnsi" w:hAnsiTheme="minorHAnsi"/>
          <w:b/>
          <w:sz w:val="24"/>
          <w:szCs w:val="24"/>
          <w:lang w:val="en-GB"/>
        </w:rPr>
        <w:t xml:space="preserve">PUBLICATION OF </w:t>
      </w:r>
      <w:r w:rsidR="00794965">
        <w:rPr>
          <w:rFonts w:asciiTheme="minorHAnsi" w:hAnsiTheme="minorHAnsi"/>
          <w:b/>
          <w:sz w:val="24"/>
          <w:szCs w:val="24"/>
          <w:lang w:val="en-GB"/>
        </w:rPr>
        <w:t xml:space="preserve">PARTIAL </w:t>
      </w:r>
      <w:r w:rsidR="005E1926">
        <w:rPr>
          <w:rFonts w:asciiTheme="minorHAnsi" w:hAnsiTheme="minorHAnsi"/>
          <w:b/>
          <w:sz w:val="24"/>
          <w:szCs w:val="24"/>
          <w:lang w:val="en-GB"/>
        </w:rPr>
        <w:t>PROVISIONAL LIST OF AWARDEES AND</w:t>
      </w:r>
      <w:r w:rsidR="00794965">
        <w:rPr>
          <w:rFonts w:asciiTheme="minorHAnsi" w:hAnsiTheme="minorHAnsi"/>
          <w:b/>
          <w:sz w:val="24"/>
          <w:szCs w:val="24"/>
          <w:lang w:val="en-GB"/>
        </w:rPr>
        <w:t xml:space="preserve"> PARTIAL RESERVE LIST</w:t>
      </w:r>
      <w:r w:rsidR="00011EDE">
        <w:rPr>
          <w:rFonts w:asciiTheme="minorHAnsi" w:hAnsiTheme="minorHAnsi"/>
          <w:b/>
          <w:sz w:val="24"/>
          <w:szCs w:val="24"/>
          <w:lang w:val="en-GB"/>
        </w:rPr>
        <w:t xml:space="preserve"> OF CANDIDATES WHO REQUIRED ETHICS CHECK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36010762" w14:textId="77777777" w:rsidR="009C67E6" w:rsidRPr="00F33DD3" w:rsidRDefault="009C67E6" w:rsidP="009C67E6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-plus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</w:p>
    <w:p w14:paraId="6C42E6A9" w14:textId="12F270C3" w:rsidR="009C67E6" w:rsidRPr="00F33DD3" w:rsidRDefault="009C67E6" w:rsidP="003F57C2">
      <w:pPr>
        <w:jc w:val="center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First Call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published on July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(R</w:t>
      </w:r>
      <w:r w:rsidR="003F57C2" w:rsidRPr="003F57C2">
        <w:rPr>
          <w:rFonts w:asciiTheme="minorHAnsi" w:hAnsiTheme="minorHAnsi" w:cstheme="minorHAnsi"/>
          <w:b/>
          <w:sz w:val="24"/>
          <w:szCs w:val="24"/>
          <w:lang w:val="en-GB"/>
        </w:rPr>
        <w:t>esolu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>tion of the</w:t>
      </w:r>
      <w:r w:rsidR="003F57C2" w:rsidRPr="003F57C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Rector, 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>June 25</w:t>
      </w:r>
      <w:r w:rsidR="003F57C2" w:rsidRPr="003F57C2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th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>, 2019)</w:t>
      </w: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>CONEX-Plus Fellowship, first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77777777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/CONEX/001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011EDE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7777777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Describe the reasons for your review demand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gramStart"/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continue on</w:t>
            </w:r>
            <w:proofErr w:type="gramEnd"/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new pages as necessary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011EDE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3A846F21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............(</w:t>
      </w:r>
      <w:proofErr w:type="spellStart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Place&amp;Date</w:t>
      </w:r>
      <w:proofErr w:type="spellEnd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</w:t>
      </w:r>
      <w:proofErr w:type="gramStart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….(</w:t>
      </w:r>
      <w:proofErr w:type="gramEnd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</w:t>
      </w:r>
      <w:r w:rsidR="00591BEA">
        <w:rPr>
          <w:rFonts w:asciiTheme="minorHAnsi" w:hAnsiTheme="minorHAnsi" w:cstheme="minorHAnsi"/>
          <w:i/>
          <w:sz w:val="24"/>
          <w:szCs w:val="24"/>
          <w:lang w:val="en-GB"/>
        </w:rPr>
        <w:t>20</w:t>
      </w:r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2BA1" w14:textId="77777777" w:rsidR="00C7499E" w:rsidRDefault="00C7499E">
      <w:pPr>
        <w:spacing w:line="240" w:lineRule="auto"/>
      </w:pPr>
      <w:r>
        <w:separator/>
      </w:r>
    </w:p>
  </w:endnote>
  <w:endnote w:type="continuationSeparator" w:id="0">
    <w:p w14:paraId="654923A3" w14:textId="77777777" w:rsidR="00C7499E" w:rsidRDefault="00C74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hyperlink r:id="rId3" w:history="1">
      <w:r w:rsidRPr="0077671D">
        <w:rPr>
          <w:rStyle w:val="Hipervnculo"/>
          <w:rFonts w:cs="Arial"/>
          <w:sz w:val="18"/>
          <w:szCs w:val="18"/>
          <w:lang w:val="en-US"/>
        </w:rPr>
        <w:t>conex@uc3m.es</w:t>
      </w:r>
    </w:hyperlink>
  </w:p>
  <w:p w14:paraId="567B195E" w14:textId="77777777" w:rsidR="0070797C" w:rsidRPr="00ED6CFC" w:rsidRDefault="00C7499E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r>
      <w:fldChar w:fldCharType="begin"/>
    </w:r>
    <w:r w:rsidRPr="00011EDE">
      <w:rPr>
        <w:lang w:val="en-US"/>
      </w:rPr>
      <w:instrText xml:space="preserve"> HYPERLINK "https://www.uc3m.es/research/conex" </w:instrText>
    </w:r>
    <w:r>
      <w:fldChar w:fldCharType="separate"/>
    </w:r>
    <w:r w:rsidR="0070797C" w:rsidRPr="004E0E1D">
      <w:rPr>
        <w:rStyle w:val="Hipervnculo"/>
        <w:b/>
        <w:sz w:val="18"/>
        <w:szCs w:val="18"/>
        <w:lang w:val="en-US"/>
      </w:rPr>
      <w:t>https://www.uc3m.es/research/conex</w:t>
    </w:r>
    <w:r>
      <w:rPr>
        <w:rStyle w:val="Hipervnculo"/>
        <w:b/>
        <w:sz w:val="18"/>
        <w:szCs w:val="18"/>
        <w:lang w:val="en-US"/>
      </w:rPr>
      <w:fldChar w:fldCharType="end"/>
    </w:r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CA96" w14:textId="77777777" w:rsidR="00C7499E" w:rsidRDefault="00C7499E">
      <w:pPr>
        <w:spacing w:line="240" w:lineRule="auto"/>
      </w:pPr>
      <w:r>
        <w:separator/>
      </w:r>
    </w:p>
  </w:footnote>
  <w:footnote w:type="continuationSeparator" w:id="0">
    <w:p w14:paraId="459A8257" w14:textId="77777777" w:rsidR="00C7499E" w:rsidRDefault="00C74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11EDE"/>
    <w:rsid w:val="0005098F"/>
    <w:rsid w:val="000A1675"/>
    <w:rsid w:val="002C0AFA"/>
    <w:rsid w:val="00343454"/>
    <w:rsid w:val="003437F6"/>
    <w:rsid w:val="003F57C2"/>
    <w:rsid w:val="00421600"/>
    <w:rsid w:val="004439BA"/>
    <w:rsid w:val="00477BD1"/>
    <w:rsid w:val="00493DC5"/>
    <w:rsid w:val="004B3C7C"/>
    <w:rsid w:val="004D6962"/>
    <w:rsid w:val="004F3CFB"/>
    <w:rsid w:val="00507402"/>
    <w:rsid w:val="00534B9A"/>
    <w:rsid w:val="00591BEA"/>
    <w:rsid w:val="005A2F97"/>
    <w:rsid w:val="005C6DFE"/>
    <w:rsid w:val="005E1926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794965"/>
    <w:rsid w:val="007C16DE"/>
    <w:rsid w:val="008526FC"/>
    <w:rsid w:val="008C51F8"/>
    <w:rsid w:val="00980C0A"/>
    <w:rsid w:val="00985AFA"/>
    <w:rsid w:val="00990B89"/>
    <w:rsid w:val="009934AB"/>
    <w:rsid w:val="009C67E6"/>
    <w:rsid w:val="00A46A40"/>
    <w:rsid w:val="00A64589"/>
    <w:rsid w:val="00B54051"/>
    <w:rsid w:val="00B61208"/>
    <w:rsid w:val="00B77E62"/>
    <w:rsid w:val="00BB32BB"/>
    <w:rsid w:val="00BB37CD"/>
    <w:rsid w:val="00BC6606"/>
    <w:rsid w:val="00C7499E"/>
    <w:rsid w:val="00CB637B"/>
    <w:rsid w:val="00CF1E12"/>
    <w:rsid w:val="00D2284D"/>
    <w:rsid w:val="00DC5727"/>
    <w:rsid w:val="00DC7018"/>
    <w:rsid w:val="00DE7243"/>
    <w:rsid w:val="00E25856"/>
    <w:rsid w:val="00E6010C"/>
    <w:rsid w:val="00ED58FC"/>
    <w:rsid w:val="00EF73C8"/>
    <w:rsid w:val="00F07210"/>
    <w:rsid w:val="00F14587"/>
    <w:rsid w:val="00F33DD3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ex@uc3m.es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9BA8-623F-437B-BCB1-9636B7E4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almucrespogil@gmail.com</cp:lastModifiedBy>
  <cp:revision>2</cp:revision>
  <dcterms:created xsi:type="dcterms:W3CDTF">2020-09-08T08:48:00Z</dcterms:created>
  <dcterms:modified xsi:type="dcterms:W3CDTF">2020-09-08T08:48:00Z</dcterms:modified>
</cp:coreProperties>
</file>