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257"/>
        <w:tblW w:w="5696" w:type="pct"/>
        <w:tblLook w:val="04A0" w:firstRow="1" w:lastRow="0" w:firstColumn="1" w:lastColumn="0" w:noHBand="0" w:noVBand="1"/>
      </w:tblPr>
      <w:tblGrid>
        <w:gridCol w:w="2166"/>
        <w:gridCol w:w="2622"/>
        <w:gridCol w:w="285"/>
        <w:gridCol w:w="1559"/>
        <w:gridCol w:w="990"/>
        <w:gridCol w:w="2692"/>
      </w:tblGrid>
      <w:tr w:rsidR="00D17C39" w:rsidRPr="00705AC0" w:rsidTr="008D4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8F7FC0" w:rsidRPr="00C100F3" w:rsidRDefault="008F7FC0" w:rsidP="006A6D02">
            <w:pPr>
              <w:rPr>
                <w:rFonts w:ascii="Verdana" w:hAnsi="Verdana"/>
                <w:szCs w:val="24"/>
                <w:lang w:val="es-ES"/>
              </w:rPr>
            </w:pPr>
            <w:r w:rsidRPr="00C100F3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8F7FC0" w:rsidRPr="00C100F3" w:rsidRDefault="008F7FC0" w:rsidP="006A6D02">
            <w:pPr>
              <w:rPr>
                <w:rFonts w:ascii="Verdana" w:hAnsi="Verdana"/>
                <w:szCs w:val="24"/>
                <w:lang w:val="es-ES"/>
              </w:rPr>
            </w:pPr>
          </w:p>
          <w:p w:rsidR="00E06A9A" w:rsidRPr="00C100F3" w:rsidRDefault="008F7FC0" w:rsidP="00E74D3F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E74D3F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09" w:type="pct"/>
            <w:gridSpan w:val="2"/>
          </w:tcPr>
          <w:p w:rsidR="00E06A9A" w:rsidRPr="00E06A9A" w:rsidRDefault="00F23A7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Población</w:t>
            </w: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F243EB" w:rsidRPr="00E06A9A" w:rsidRDefault="00F243EB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756" w:type="pct"/>
          </w:tcPr>
          <w:p w:rsidR="00114E80" w:rsidRDefault="00781A95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781A95">
              <w:rPr>
                <w:rFonts w:ascii="Verdana" w:hAnsi="Verdana"/>
                <w:sz w:val="20"/>
                <w:szCs w:val="20"/>
                <w:lang w:val="es-ES"/>
              </w:rPr>
              <w:t>4</w:t>
            </w:r>
            <w:r w:rsidR="00316A2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781A95">
              <w:rPr>
                <w:rFonts w:ascii="Verdana" w:hAnsi="Verdana"/>
                <w:sz w:val="20"/>
                <w:szCs w:val="20"/>
                <w:lang w:val="es-ES"/>
              </w:rPr>
              <w:t>322</w:t>
            </w:r>
            <w:r w:rsidR="00316A2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781A95">
              <w:rPr>
                <w:rFonts w:ascii="Verdana" w:hAnsi="Verdana"/>
                <w:sz w:val="20"/>
                <w:szCs w:val="20"/>
                <w:lang w:val="es-ES"/>
              </w:rPr>
              <w:t>628</w:t>
            </w:r>
          </w:p>
          <w:p w:rsidR="00781A95" w:rsidRDefault="00781A95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Default="00781A95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781A95">
              <w:rPr>
                <w:rFonts w:ascii="Verdana" w:hAnsi="Verdana"/>
                <w:sz w:val="20"/>
                <w:szCs w:val="20"/>
                <w:lang w:val="es-ES"/>
              </w:rPr>
              <w:t>263</w:t>
            </w:r>
            <w:r w:rsidR="00316A2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781A95">
              <w:rPr>
                <w:rFonts w:ascii="Verdana" w:hAnsi="Verdana"/>
                <w:sz w:val="20"/>
                <w:szCs w:val="20"/>
                <w:lang w:val="es-ES"/>
              </w:rPr>
              <w:t>028</w:t>
            </w:r>
          </w:p>
          <w:p w:rsidR="00F3533E" w:rsidRDefault="00F3533E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781A95" w:rsidRDefault="00781A95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781A95" w:rsidRPr="00781A95">
              <w:rPr>
                <w:rFonts w:ascii="Verdana" w:hAnsi="Verdana"/>
                <w:sz w:val="20"/>
                <w:szCs w:val="20"/>
                <w:lang w:val="es-ES"/>
              </w:rPr>
              <w:t>29</w:t>
            </w:r>
            <w:r w:rsidR="00316A2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781A95" w:rsidRPr="00781A95">
              <w:rPr>
                <w:rFonts w:ascii="Verdana" w:hAnsi="Verdana"/>
                <w:sz w:val="20"/>
                <w:szCs w:val="20"/>
                <w:lang w:val="es-ES"/>
              </w:rPr>
              <w:t>258</w:t>
            </w:r>
          </w:p>
          <w:p w:rsidR="00E06A9A" w:rsidRPr="00E06A9A" w:rsidRDefault="00781A95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0,91</w:t>
            </w:r>
          </w:p>
        </w:tc>
        <w:tc>
          <w:tcPr>
            <w:tcW w:w="1785" w:type="pct"/>
            <w:gridSpan w:val="2"/>
          </w:tcPr>
          <w:p w:rsidR="00E06A9A" w:rsidRPr="00E06A9A" w:rsidRDefault="00BE2B69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1C52B35" wp14:editId="04173E0A">
                  <wp:extent cx="1371600" cy="1126874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038"/>
                          <a:stretch/>
                        </pic:blipFill>
                        <pic:spPr bwMode="auto">
                          <a:xfrm>
                            <a:off x="0" y="0"/>
                            <a:ext cx="1375143" cy="1129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8D4276" w:rsidTr="00C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0" w:type="pct"/>
            <w:gridSpan w:val="5"/>
          </w:tcPr>
          <w:p w:rsidR="00BE5478" w:rsidRPr="00E06A9A" w:rsidRDefault="00FB1AB1" w:rsidP="00A66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Nueva Zelanda</w:t>
            </w:r>
            <w:r w:rsidR="00BE5478">
              <w:rPr>
                <w:rFonts w:ascii="Verdana" w:hAnsi="Verdana"/>
                <w:sz w:val="20"/>
                <w:szCs w:val="20"/>
                <w:lang w:val="es-ES"/>
              </w:rPr>
              <w:t xml:space="preserve"> cuenta con</w:t>
            </w:r>
            <w:r w:rsidR="006C40F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8</w:t>
            </w:r>
            <w:r w:rsidR="006C40F4"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universidades púb</w:t>
            </w:r>
            <w:r w:rsidR="00BE5478"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licas</w:t>
            </w:r>
            <w:r w:rsidR="000D3B7F">
              <w:rPr>
                <w:rFonts w:ascii="Verdana" w:hAnsi="Verdana"/>
                <w:b/>
                <w:sz w:val="20"/>
                <w:szCs w:val="20"/>
                <w:lang w:val="es-ES"/>
              </w:rPr>
              <w:t>,</w:t>
            </w:r>
            <w:r w:rsidR="00BE5478"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FB1AB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20 </w:t>
            </w:r>
            <w:proofErr w:type="spellStart"/>
            <w:r w:rsidR="008D4276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i</w:t>
            </w:r>
            <w:r w:rsidR="00BE5478" w:rsidRPr="008D4276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nstitutes</w:t>
            </w:r>
            <w:proofErr w:type="spellEnd"/>
            <w:r w:rsidR="008D4276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8D4276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t</w:t>
            </w:r>
            <w:r w:rsidR="00BE5478" w:rsidRPr="008D4276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echnology</w:t>
            </w:r>
            <w:proofErr w:type="spellEnd"/>
            <w:r w:rsidR="00BE5478"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BE5478" w:rsidRPr="00BE5478">
              <w:rPr>
                <w:rFonts w:ascii="Verdana" w:hAnsi="Verdana"/>
                <w:sz w:val="20"/>
                <w:szCs w:val="20"/>
                <w:lang w:val="es-ES"/>
              </w:rPr>
              <w:t>(</w:t>
            </w:r>
            <w:r w:rsidR="00BE5478">
              <w:rPr>
                <w:rFonts w:ascii="Verdana" w:hAnsi="Verdana"/>
                <w:sz w:val="20"/>
                <w:szCs w:val="20"/>
                <w:lang w:val="es-ES"/>
              </w:rPr>
              <w:t>especializados en estudios técnicos) y</w:t>
            </w:r>
            <w:r w:rsidR="00BE5478"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8D427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3 </w:t>
            </w:r>
            <w:proofErr w:type="spellStart"/>
            <w:r w:rsidR="008D4276" w:rsidRPr="008D4276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w</w:t>
            </w:r>
            <w:r w:rsidRPr="008D4276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ānanga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BE5478">
              <w:rPr>
                <w:rFonts w:ascii="Verdana" w:hAnsi="Verdana"/>
                <w:sz w:val="20"/>
                <w:szCs w:val="20"/>
                <w:lang w:val="es-ES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instituciones que imparten docencia según los usos </w:t>
            </w:r>
            <w:proofErr w:type="spellStart"/>
            <w:r w:rsidR="00911C91">
              <w:rPr>
                <w:rFonts w:ascii="Verdana" w:hAnsi="Verdana"/>
                <w:sz w:val="20"/>
                <w:szCs w:val="20"/>
                <w:lang w:val="es-ES"/>
              </w:rPr>
              <w:t>ma</w:t>
            </w:r>
            <w:r w:rsidRPr="00FB1AB1">
              <w:rPr>
                <w:rFonts w:ascii="Verdana" w:hAnsi="Verdana"/>
                <w:sz w:val="20"/>
                <w:szCs w:val="20"/>
                <w:lang w:val="es-ES"/>
              </w:rPr>
              <w:t>ori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es</w:t>
            </w:r>
            <w:proofErr w:type="spellEnd"/>
            <w:r w:rsidR="00BE5478">
              <w:rPr>
                <w:rFonts w:ascii="Verdana" w:hAnsi="Verdana"/>
                <w:sz w:val="20"/>
                <w:szCs w:val="20"/>
                <w:lang w:val="es-ES"/>
              </w:rPr>
              <w:t>)</w:t>
            </w:r>
            <w:r w:rsidR="00BB5B1A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="000D3B7F">
              <w:rPr>
                <w:rFonts w:ascii="Verdana" w:hAnsi="Verdana"/>
                <w:sz w:val="20"/>
                <w:szCs w:val="20"/>
                <w:lang w:val="es-ES"/>
              </w:rPr>
              <w:t xml:space="preserve">Los centros de educación privados, más de 300, no tienen rango de universidad y suelen especializarse en </w:t>
            </w:r>
            <w:proofErr w:type="spellStart"/>
            <w:r w:rsidR="000D3B7F">
              <w:rPr>
                <w:rFonts w:ascii="Verdana" w:hAnsi="Verdana"/>
                <w:sz w:val="20"/>
                <w:szCs w:val="20"/>
                <w:lang w:val="es-ES"/>
              </w:rPr>
              <w:t>areas</w:t>
            </w:r>
            <w:proofErr w:type="spellEnd"/>
            <w:r w:rsidR="000D3B7F">
              <w:rPr>
                <w:rFonts w:ascii="Verdana" w:hAnsi="Verdana"/>
                <w:sz w:val="20"/>
                <w:szCs w:val="20"/>
                <w:lang w:val="es-ES"/>
              </w:rPr>
              <w:t xml:space="preserve"> de conocimiento cubiertas insuficientemente por el sector público. La calidad de la educación neozelandesa es</w:t>
            </w:r>
            <w:r w:rsidR="00A66AAF">
              <w:rPr>
                <w:rFonts w:ascii="Verdana" w:hAnsi="Verdana"/>
                <w:sz w:val="20"/>
                <w:szCs w:val="20"/>
                <w:lang w:val="es-ES"/>
              </w:rPr>
              <w:t>tá entre</w:t>
            </w:r>
            <w:r w:rsidR="000D3B7F">
              <w:rPr>
                <w:rFonts w:ascii="Verdana" w:hAnsi="Verdana"/>
                <w:sz w:val="20"/>
                <w:szCs w:val="20"/>
                <w:lang w:val="es-ES"/>
              </w:rPr>
              <w:t xml:space="preserve"> la</w:t>
            </w:r>
            <w:r w:rsidR="00A66AAF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="000D3B7F">
              <w:rPr>
                <w:rFonts w:ascii="Verdana" w:hAnsi="Verdana"/>
                <w:sz w:val="20"/>
                <w:szCs w:val="20"/>
                <w:lang w:val="es-ES"/>
              </w:rPr>
              <w:t xml:space="preserve"> más alta</w:t>
            </w:r>
            <w:r w:rsidR="00A66AAF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="000D3B7F">
              <w:rPr>
                <w:rFonts w:ascii="Verdana" w:hAnsi="Verdana"/>
                <w:sz w:val="20"/>
                <w:szCs w:val="20"/>
                <w:lang w:val="es-ES"/>
              </w:rPr>
              <w:t xml:space="preserve"> del mundo según el </w:t>
            </w:r>
            <w:proofErr w:type="spellStart"/>
            <w:r w:rsidR="000D3B7F">
              <w:rPr>
                <w:rFonts w:ascii="Verdana" w:hAnsi="Verdana"/>
                <w:sz w:val="20"/>
                <w:szCs w:val="20"/>
                <w:lang w:val="es-ES"/>
              </w:rPr>
              <w:t>Indice</w:t>
            </w:r>
            <w:proofErr w:type="spellEnd"/>
            <w:r w:rsidR="000D3B7F">
              <w:rPr>
                <w:rFonts w:ascii="Verdana" w:hAnsi="Verdana"/>
                <w:sz w:val="20"/>
                <w:szCs w:val="20"/>
                <w:lang w:val="es-ES"/>
              </w:rPr>
              <w:t xml:space="preserve"> de Desarrollo Humano d</w:t>
            </w:r>
            <w:r w:rsidR="00A66AAF">
              <w:rPr>
                <w:rFonts w:ascii="Verdana" w:hAnsi="Verdana"/>
                <w:sz w:val="20"/>
                <w:szCs w:val="20"/>
                <w:lang w:val="es-ES"/>
              </w:rPr>
              <w:t xml:space="preserve">e </w:t>
            </w:r>
            <w:r w:rsidR="00911C91">
              <w:rPr>
                <w:rFonts w:ascii="Verdana" w:hAnsi="Verdana"/>
                <w:sz w:val="20"/>
                <w:szCs w:val="20"/>
                <w:lang w:val="es-ES"/>
              </w:rPr>
              <w:t xml:space="preserve">N.U. </w:t>
            </w:r>
            <w:r w:rsidR="00BB5B1A">
              <w:rPr>
                <w:rFonts w:ascii="Verdana" w:hAnsi="Verdana"/>
                <w:sz w:val="20"/>
                <w:szCs w:val="20"/>
                <w:lang w:val="es-ES"/>
              </w:rPr>
              <w:t>El c</w:t>
            </w:r>
            <w:r w:rsidR="00A66AAF">
              <w:rPr>
                <w:rFonts w:ascii="Verdana" w:hAnsi="Verdana"/>
                <w:sz w:val="20"/>
                <w:szCs w:val="20"/>
                <w:lang w:val="es-ES"/>
              </w:rPr>
              <w:t>oste anual de matrícula va de 8.000 a 15.000 EUR</w:t>
            </w:r>
            <w:r w:rsidR="00BB5B1A">
              <w:rPr>
                <w:rFonts w:ascii="Verdana" w:hAnsi="Verdana"/>
                <w:sz w:val="20"/>
                <w:szCs w:val="20"/>
                <w:lang w:val="es-ES"/>
              </w:rPr>
              <w:t xml:space="preserve">, pero </w:t>
            </w:r>
            <w:r w:rsidR="00BB5B1A"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la gran mayoría de los estudiantes reciben financiación pública</w:t>
            </w:r>
            <w:r w:rsidR="00BB5B1A">
              <w:rPr>
                <w:rFonts w:ascii="Verdana" w:hAnsi="Verdana"/>
                <w:sz w:val="20"/>
                <w:szCs w:val="20"/>
                <w:lang w:val="es-ES"/>
              </w:rPr>
              <w:t xml:space="preserve"> a</w:t>
            </w:r>
            <w:r w:rsidR="00A66AAF">
              <w:rPr>
                <w:rFonts w:ascii="Verdana" w:hAnsi="Verdana"/>
                <w:sz w:val="20"/>
                <w:szCs w:val="20"/>
                <w:lang w:val="es-ES"/>
              </w:rPr>
              <w:t xml:space="preserve"> través de</w:t>
            </w:r>
            <w:r w:rsidR="00BB5B1A" w:rsidRPr="00A66AAF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A66AAF" w:rsidRPr="00A66AAF">
              <w:rPr>
                <w:rFonts w:ascii="Verdana" w:hAnsi="Verdana"/>
                <w:sz w:val="20"/>
                <w:szCs w:val="20"/>
                <w:lang w:val="es-ES"/>
              </w:rPr>
              <w:t>sistemas de becas o préstamos.</w:t>
            </w:r>
          </w:p>
        </w:tc>
      </w:tr>
      <w:tr w:rsidR="00E06A9A" w:rsidRPr="006C40F4" w:rsidTr="00C04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0" w:type="pct"/>
            <w:gridSpan w:val="5"/>
          </w:tcPr>
          <w:p w:rsidR="00E06A9A" w:rsidRPr="00316A2E" w:rsidRDefault="006C40F4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316A2E">
              <w:rPr>
                <w:rFonts w:ascii="Verdana" w:hAnsi="Verdana"/>
                <w:sz w:val="20"/>
                <w:szCs w:val="20"/>
                <w:lang w:val="en-US"/>
              </w:rPr>
              <w:t>Bachelor’s Degree, 3</w:t>
            </w:r>
            <w:r w:rsidR="00E06A9A" w:rsidRPr="00316A2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6A9A" w:rsidRPr="00316A2E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 w:rsidR="00F00FFC" w:rsidRPr="00316A2E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</w:p>
          <w:p w:rsidR="006C40F4" w:rsidRPr="006C40F4" w:rsidRDefault="00FB1AB1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16A2E">
              <w:rPr>
                <w:rFonts w:ascii="Verdana" w:hAnsi="Verdana"/>
                <w:sz w:val="20"/>
                <w:szCs w:val="20"/>
                <w:lang w:val="en-US"/>
              </w:rPr>
              <w:t>Honours</w:t>
            </w:r>
            <w:proofErr w:type="spellEnd"/>
            <w:r w:rsidRPr="00316A2E">
              <w:rPr>
                <w:rFonts w:ascii="Verdana" w:hAnsi="Verdana"/>
                <w:sz w:val="20"/>
                <w:szCs w:val="20"/>
                <w:lang w:val="en-US"/>
              </w:rPr>
              <w:t xml:space="preserve"> Degree</w:t>
            </w:r>
            <w:r w:rsidR="006C40F4" w:rsidRPr="006C40F4">
              <w:rPr>
                <w:rFonts w:ascii="Verdana" w:hAnsi="Verdana"/>
                <w:sz w:val="20"/>
                <w:szCs w:val="20"/>
                <w:lang w:val="en-US"/>
              </w:rPr>
              <w:t xml:space="preserve">, 4 </w:t>
            </w:r>
            <w:proofErr w:type="spellStart"/>
            <w:r w:rsidR="006C40F4" w:rsidRPr="006C40F4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  <w:p w:rsidR="00E06A9A" w:rsidRPr="006C40F4" w:rsidRDefault="006C40F4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6C40F4">
              <w:rPr>
                <w:rFonts w:ascii="Verdana" w:hAnsi="Verdana"/>
                <w:sz w:val="20"/>
                <w:szCs w:val="20"/>
                <w:lang w:val="en-US"/>
              </w:rPr>
              <w:t>Master’s Degree, 1-2</w:t>
            </w:r>
            <w:r w:rsidR="00E06A9A" w:rsidRPr="006C40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6A9A" w:rsidRPr="006C40F4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 w:rsidR="00F00FFC" w:rsidRPr="006C40F4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</w:p>
          <w:p w:rsidR="006C40F4" w:rsidRPr="006C40F4" w:rsidRDefault="006C40F4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Doctoral Degree, 3-5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</w:tc>
      </w:tr>
      <w:tr w:rsidR="00565379" w:rsidRPr="00C04A27" w:rsidTr="0082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565379" w:rsidRPr="00E06A9A" w:rsidRDefault="00565379" w:rsidP="006A6D02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565379" w:rsidRPr="00E06A9A" w:rsidRDefault="00565379" w:rsidP="006A6D02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71" w:type="pct"/>
          </w:tcPr>
          <w:p w:rsidR="00565379" w:rsidRPr="00E0714B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0714B">
              <w:rPr>
                <w:rFonts w:ascii="Verdana" w:hAnsi="Verdana"/>
                <w:sz w:val="20"/>
                <w:szCs w:val="20"/>
                <w:lang w:val="en-US"/>
              </w:rPr>
              <w:t>ARWU Jiao Tong 201</w:t>
            </w:r>
            <w:r w:rsidR="00E74D3F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565379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04A27" w:rsidRPr="00C04A27" w:rsidRDefault="00C04A27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>201-300 The University of Auckland</w:t>
            </w:r>
          </w:p>
          <w:p w:rsidR="00C04A27" w:rsidRDefault="00C04A27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  <w:r w:rsidR="00E74D3F">
              <w:rPr>
                <w:rFonts w:ascii="Verdana" w:hAnsi="Verdana"/>
                <w:sz w:val="16"/>
                <w:szCs w:val="16"/>
                <w:lang w:val="en-US"/>
              </w:rPr>
              <w:t>1-400</w:t>
            </w: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University of Otago</w:t>
            </w:r>
          </w:p>
          <w:p w:rsidR="00E74D3F" w:rsidRPr="00E74D3F" w:rsidRDefault="00E74D3F" w:rsidP="00E7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 w:rsidRPr="00E74D3F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301-400 Victoria University of Wellington</w:t>
            </w:r>
          </w:p>
          <w:p w:rsidR="00E74D3F" w:rsidRPr="00C04A27" w:rsidRDefault="00E74D3F" w:rsidP="00E7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>401-500 University of Canterbury</w:t>
            </w:r>
          </w:p>
          <w:p w:rsidR="00C04A27" w:rsidRDefault="00C04A27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>401-500 Massey University</w:t>
            </w:r>
          </w:p>
          <w:p w:rsidR="00E74D3F" w:rsidRPr="00C04A27" w:rsidRDefault="00E74D3F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65379" w:rsidRPr="0097451D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74" w:type="pct"/>
            <w:gridSpan w:val="3"/>
          </w:tcPr>
          <w:p w:rsidR="00565379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2141D3">
              <w:rPr>
                <w:rFonts w:ascii="Verdana" w:hAnsi="Verdana"/>
                <w:sz w:val="20"/>
                <w:lang w:val="en-US"/>
              </w:rPr>
              <w:t>T</w:t>
            </w:r>
            <w:r w:rsidR="00E74D3F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565379" w:rsidRPr="001E660A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C04A27" w:rsidRPr="00C04A27" w:rsidRDefault="00C04A27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>17</w:t>
            </w:r>
            <w:r w:rsidR="00E74D3F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University of Auckland </w:t>
            </w:r>
          </w:p>
          <w:p w:rsidR="00C04A27" w:rsidRPr="00C04A27" w:rsidRDefault="00E74D3F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201-2</w:t>
            </w:r>
            <w:r w:rsidR="00C04A27" w:rsidRPr="00C04A27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C04A27"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University of Otago </w:t>
            </w:r>
          </w:p>
          <w:p w:rsidR="00C04A27" w:rsidRDefault="00C04A27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301-350 University of Canterbury </w:t>
            </w:r>
          </w:p>
          <w:p w:rsidR="00E74D3F" w:rsidRDefault="00E74D3F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501-600</w:t>
            </w: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Massey University</w:t>
            </w:r>
          </w:p>
          <w:p w:rsidR="00E74D3F" w:rsidRPr="00E74D3F" w:rsidRDefault="00E74D3F" w:rsidP="00E7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501-600</w:t>
            </w:r>
            <w:r w:rsidRPr="00316A2E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Victoria University of Wellington </w:t>
            </w:r>
          </w:p>
          <w:p w:rsidR="00C04A27" w:rsidRPr="00C04A27" w:rsidRDefault="00E74D3F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501-600</w:t>
            </w:r>
            <w:r w:rsidR="00C04A27"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University of Waikato </w:t>
            </w:r>
          </w:p>
          <w:p w:rsidR="00565379" w:rsidRPr="0097451D" w:rsidRDefault="00565379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05" w:type="pct"/>
          </w:tcPr>
          <w:p w:rsidR="00565379" w:rsidRPr="008257F5" w:rsidRDefault="00E74D3F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565379" w:rsidRPr="008257F5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04A27" w:rsidRPr="00C04A27" w:rsidRDefault="00C04A27" w:rsidP="00C04A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="00E74D3F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Auckland</w:t>
            </w:r>
          </w:p>
          <w:p w:rsidR="00C04A27" w:rsidRDefault="00E74D3F" w:rsidP="00C04A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175</w:t>
            </w:r>
            <w:r w:rsidR="00C04A27"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University of Otago</w:t>
            </w:r>
          </w:p>
          <w:p w:rsidR="00E74D3F" w:rsidRPr="00316A2E" w:rsidRDefault="00E74D3F" w:rsidP="00E74D3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221</w:t>
            </w:r>
            <w:r w:rsidRPr="00316A2E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Victoria University of Wellington</w:t>
            </w:r>
          </w:p>
          <w:p w:rsidR="00E74D3F" w:rsidRDefault="00E74D3F" w:rsidP="00E74D3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231</w:t>
            </w: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University of Canterbury</w:t>
            </w:r>
          </w:p>
          <w:p w:rsidR="00E74D3F" w:rsidRPr="00C04A27" w:rsidRDefault="00E74D3F" w:rsidP="00E74D3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274</w:t>
            </w: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University of Waikato</w:t>
            </w:r>
          </w:p>
          <w:p w:rsidR="00E74D3F" w:rsidRPr="00C04A27" w:rsidRDefault="00E74D3F" w:rsidP="00E74D3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332</w:t>
            </w:r>
            <w:r w:rsidRPr="00C04A27">
              <w:rPr>
                <w:rFonts w:ascii="Verdana" w:hAnsi="Verdana"/>
                <w:sz w:val="16"/>
                <w:szCs w:val="16"/>
                <w:lang w:val="en-US"/>
              </w:rPr>
              <w:t xml:space="preserve"> Massey University</w:t>
            </w:r>
          </w:p>
          <w:p w:rsidR="00E74D3F" w:rsidRPr="00C04A27" w:rsidRDefault="00E74D3F" w:rsidP="00C04A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65379" w:rsidRPr="008257F5" w:rsidRDefault="00565379" w:rsidP="00C04A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74D3F" w:rsidRPr="0069659F" w:rsidTr="00E74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74D3F" w:rsidRDefault="00E74D3F" w:rsidP="00E74D3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 xml:space="preserve">Rankings Continentales o Nacionales 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3950" w:type="pct"/>
            <w:gridSpan w:val="5"/>
          </w:tcPr>
          <w:p w:rsidR="00E74D3F" w:rsidRPr="00E74D3F" w:rsidRDefault="00E74D3F" w:rsidP="00E74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6"/>
                <w:lang w:val="en-US"/>
              </w:rPr>
            </w:pPr>
            <w:r w:rsidRPr="00E74D3F">
              <w:rPr>
                <w:rFonts w:ascii="Verdana" w:hAnsi="Verdana"/>
                <w:sz w:val="20"/>
                <w:szCs w:val="16"/>
                <w:lang w:val="en-US"/>
              </w:rPr>
              <w:t>QS Oceania Ranking 2019</w:t>
            </w:r>
          </w:p>
          <w:p w:rsidR="00E74D3F" w:rsidRDefault="00E74D3F" w:rsidP="00E74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74D3F" w:rsidRPr="00E74D3F" w:rsidRDefault="00E74D3F" w:rsidP="00E74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 University of Otago</w:t>
            </w:r>
          </w:p>
        </w:tc>
      </w:tr>
      <w:tr w:rsidR="00E06A9A" w:rsidRPr="008D4276" w:rsidTr="00C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0" w:type="pct"/>
            <w:gridSpan w:val="5"/>
          </w:tcPr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E06A9A" w:rsidRPr="00826144" w:rsidRDefault="00E74D3F" w:rsidP="00826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Ranking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Oceania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el que se enumeran las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mejores universidades de Oceaní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 en orden descendiente.</w:t>
            </w:r>
          </w:p>
        </w:tc>
      </w:tr>
      <w:tr w:rsidR="00E06A9A" w:rsidRPr="008D4276" w:rsidTr="00C04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lastRenderedPageBreak/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0" w:type="pct"/>
            <w:gridSpan w:val="5"/>
          </w:tcPr>
          <w:p w:rsidR="00E74D3F" w:rsidRDefault="00E74D3F" w:rsidP="00E74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hyperlink r:id="rId9" w:history="1">
              <w:r>
                <w:rPr>
                  <w:rStyle w:val="Hipervnculo"/>
                  <w:sz w:val="18"/>
                </w:rPr>
                <w:t>http://www.shanghairanking.com/ARWU2018.html</w:t>
              </w:r>
            </w:hyperlink>
            <w:r>
              <w:rPr>
                <w:sz w:val="18"/>
              </w:rPr>
              <w:t xml:space="preserve"> </w:t>
            </w:r>
          </w:p>
          <w:p w:rsidR="00E74D3F" w:rsidRDefault="00E74D3F" w:rsidP="00E74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</w:rPr>
            </w:pPr>
            <w:hyperlink r:id="rId10" w:anchor="!/page/0/length/25/locations/AR/sort_by/name/sort_order/desc/cols/stats" w:history="1">
              <w:r>
                <w:rPr>
                  <w:rStyle w:val="Hipervnculo"/>
                  <w:sz w:val="18"/>
                </w:rPr>
                <w:t>https://www.timeshighereducation.com/worl</w:t>
              </w:r>
              <w:bookmarkStart w:id="0" w:name="_GoBack"/>
              <w:bookmarkEnd w:id="0"/>
              <w:r>
                <w:rPr>
                  <w:rStyle w:val="Hipervnculo"/>
                  <w:sz w:val="18"/>
                </w:rPr>
                <w:t>d-university-rankings/2020/world-</w:t>
              </w:r>
              <w:r>
                <w:rPr>
                  <w:rStyle w:val="Hipervnculo"/>
                  <w:sz w:val="18"/>
                </w:rPr>
                <w:lastRenderedPageBreak/>
                <w:t>ranking#!/page/0/length/25/locations/AR/sort_by/name/sort_order/desc/cols/stats</w:t>
              </w:r>
            </w:hyperlink>
            <w:r>
              <w:rPr>
                <w:sz w:val="18"/>
              </w:rPr>
              <w:t xml:space="preserve"> </w:t>
            </w:r>
            <w:hyperlink r:id="rId11" w:history="1">
              <w:r>
                <w:rPr>
                  <w:rStyle w:val="Hipervnculo"/>
                  <w:sz w:val="18"/>
                </w:rPr>
                <w:t>https://www.topuniversities.com/university-rankings/world-university-rankings/2019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  <w:p w:rsidR="00E06A9A" w:rsidRPr="00E74D3F" w:rsidRDefault="00E74D3F" w:rsidP="00E74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hyperlink r:id="rId12" w:history="1">
              <w:r w:rsidRPr="00CD4348">
                <w:rPr>
                  <w:rStyle w:val="Hipervnculo"/>
                  <w:sz w:val="18"/>
                </w:rPr>
                <w:t>https://www.topuniversities.com/university-rankings/mba-rankings/oceania/2019</w:t>
              </w:r>
            </w:hyperlink>
          </w:p>
        </w:tc>
      </w:tr>
    </w:tbl>
    <w:p w:rsidR="00A84BD9" w:rsidRPr="00E74D3F" w:rsidRDefault="00A84BD9" w:rsidP="00AC7449"/>
    <w:sectPr w:rsidR="00A84BD9" w:rsidRPr="00E74D3F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30" w:rsidRDefault="00946430" w:rsidP="0091126F">
      <w:pPr>
        <w:spacing w:after="0" w:line="240" w:lineRule="auto"/>
      </w:pPr>
      <w:r>
        <w:separator/>
      </w:r>
    </w:p>
  </w:endnote>
  <w:endnote w:type="continuationSeparator" w:id="0">
    <w:p w:rsidR="00946430" w:rsidRDefault="00946430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78" w:rsidRPr="00E90875" w:rsidRDefault="00BE5478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BE5478" w:rsidRPr="00705AC0" w:rsidRDefault="00BE5478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E74D3F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30" w:rsidRDefault="00946430" w:rsidP="0091126F">
      <w:pPr>
        <w:spacing w:after="0" w:line="240" w:lineRule="auto"/>
      </w:pPr>
      <w:r>
        <w:separator/>
      </w:r>
    </w:p>
  </w:footnote>
  <w:footnote w:type="continuationSeparator" w:id="0">
    <w:p w:rsidR="00946430" w:rsidRDefault="00946430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02" w:rsidRDefault="00B21DBE" w:rsidP="006A6D02">
    <w:pPr>
      <w:pStyle w:val="Ttulo2"/>
      <w:spacing w:before="0"/>
      <w:ind w:left="-709" w:right="-658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F7FB47F" wp14:editId="213C3139">
          <wp:simplePos x="0" y="0"/>
          <wp:positionH relativeFrom="margin">
            <wp:posOffset>-457200</wp:posOffset>
          </wp:positionH>
          <wp:positionV relativeFrom="margin">
            <wp:posOffset>-876300</wp:posOffset>
          </wp:positionV>
          <wp:extent cx="1933575" cy="619125"/>
          <wp:effectExtent l="0" t="0" r="9525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78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3A20E3CE" wp14:editId="1AD02DF4">
          <wp:simplePos x="0" y="0"/>
          <wp:positionH relativeFrom="column">
            <wp:posOffset>2402205</wp:posOffset>
          </wp:positionH>
          <wp:positionV relativeFrom="paragraph">
            <wp:posOffset>-91440</wp:posOffset>
          </wp:positionV>
          <wp:extent cx="1219200" cy="609600"/>
          <wp:effectExtent l="171450" t="171450" r="381000" b="361950"/>
          <wp:wrapTight wrapText="bothSides">
            <wp:wrapPolygon edited="0">
              <wp:start x="3713" y="-6075"/>
              <wp:lineTo x="-3038" y="-4725"/>
              <wp:lineTo x="-3038" y="24300"/>
              <wp:lineTo x="-1688" y="27675"/>
              <wp:lineTo x="-1688" y="28350"/>
              <wp:lineTo x="1688" y="32400"/>
              <wp:lineTo x="2025" y="33750"/>
              <wp:lineTo x="22950" y="33750"/>
              <wp:lineTo x="23288" y="32400"/>
              <wp:lineTo x="26663" y="28350"/>
              <wp:lineTo x="27675" y="16875"/>
              <wp:lineTo x="28013" y="2700"/>
              <wp:lineTo x="23288" y="-4725"/>
              <wp:lineTo x="21263" y="-6075"/>
              <wp:lineTo x="3713" y="-6075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D02">
      <w:rPr>
        <w:sz w:val="56"/>
        <w:szCs w:val="56"/>
      </w:rPr>
      <w:t xml:space="preserve">NUEVA </w:t>
    </w:r>
  </w:p>
  <w:p w:rsidR="00BE5478" w:rsidRPr="008450AE" w:rsidRDefault="006A6D02" w:rsidP="006A6D02">
    <w:pPr>
      <w:pStyle w:val="Ttulo2"/>
      <w:spacing w:before="0"/>
      <w:ind w:left="-709" w:right="-658"/>
      <w:jc w:val="right"/>
      <w:rPr>
        <w:sz w:val="56"/>
        <w:szCs w:val="56"/>
      </w:rPr>
    </w:pPr>
    <w:r>
      <w:rPr>
        <w:sz w:val="56"/>
        <w:szCs w:val="56"/>
      </w:rPr>
      <w:t>ZELANDA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1498"/>
    <w:multiLevelType w:val="hybridMultilevel"/>
    <w:tmpl w:val="9F7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348B6"/>
    <w:multiLevelType w:val="hybridMultilevel"/>
    <w:tmpl w:val="72FA6284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4AE8"/>
    <w:rsid w:val="00005158"/>
    <w:rsid w:val="00034933"/>
    <w:rsid w:val="00062E3E"/>
    <w:rsid w:val="00074F98"/>
    <w:rsid w:val="000806B0"/>
    <w:rsid w:val="00090B66"/>
    <w:rsid w:val="000914A5"/>
    <w:rsid w:val="000D3B7F"/>
    <w:rsid w:val="001042DA"/>
    <w:rsid w:val="00114E80"/>
    <w:rsid w:val="001544C7"/>
    <w:rsid w:val="001657B1"/>
    <w:rsid w:val="00173D41"/>
    <w:rsid w:val="0019570D"/>
    <w:rsid w:val="001A659A"/>
    <w:rsid w:val="001B5731"/>
    <w:rsid w:val="001B6CA8"/>
    <w:rsid w:val="001C7CE8"/>
    <w:rsid w:val="001D6DAC"/>
    <w:rsid w:val="002003E0"/>
    <w:rsid w:val="00210A54"/>
    <w:rsid w:val="002141D3"/>
    <w:rsid w:val="00227F6B"/>
    <w:rsid w:val="00231C53"/>
    <w:rsid w:val="002433FB"/>
    <w:rsid w:val="00247227"/>
    <w:rsid w:val="002B140F"/>
    <w:rsid w:val="002E544E"/>
    <w:rsid w:val="002F3D9C"/>
    <w:rsid w:val="002F6FBB"/>
    <w:rsid w:val="00311DA9"/>
    <w:rsid w:val="00316A2E"/>
    <w:rsid w:val="00323059"/>
    <w:rsid w:val="003527BE"/>
    <w:rsid w:val="00374CD6"/>
    <w:rsid w:val="003A0160"/>
    <w:rsid w:val="003A7FA4"/>
    <w:rsid w:val="003B2AE1"/>
    <w:rsid w:val="003B74AB"/>
    <w:rsid w:val="003F2DBD"/>
    <w:rsid w:val="003F34E6"/>
    <w:rsid w:val="004100EF"/>
    <w:rsid w:val="00464492"/>
    <w:rsid w:val="004923D1"/>
    <w:rsid w:val="004B6D70"/>
    <w:rsid w:val="004D5A12"/>
    <w:rsid w:val="004D5F00"/>
    <w:rsid w:val="00507DBB"/>
    <w:rsid w:val="0051121D"/>
    <w:rsid w:val="005407DA"/>
    <w:rsid w:val="00545C7E"/>
    <w:rsid w:val="00565379"/>
    <w:rsid w:val="00570CE7"/>
    <w:rsid w:val="00581FC9"/>
    <w:rsid w:val="005A7B8E"/>
    <w:rsid w:val="005B217B"/>
    <w:rsid w:val="005C440E"/>
    <w:rsid w:val="005D79A7"/>
    <w:rsid w:val="00606563"/>
    <w:rsid w:val="00623674"/>
    <w:rsid w:val="0063590D"/>
    <w:rsid w:val="0069659F"/>
    <w:rsid w:val="006A6D02"/>
    <w:rsid w:val="006A7080"/>
    <w:rsid w:val="006C32E1"/>
    <w:rsid w:val="006C39F9"/>
    <w:rsid w:val="006C40F4"/>
    <w:rsid w:val="006D3DDF"/>
    <w:rsid w:val="006F3E7C"/>
    <w:rsid w:val="006F729E"/>
    <w:rsid w:val="007058BD"/>
    <w:rsid w:val="00705AC0"/>
    <w:rsid w:val="007257BD"/>
    <w:rsid w:val="00744F62"/>
    <w:rsid w:val="007722F2"/>
    <w:rsid w:val="00781A95"/>
    <w:rsid w:val="00783619"/>
    <w:rsid w:val="007B42F4"/>
    <w:rsid w:val="007B55A1"/>
    <w:rsid w:val="007C254F"/>
    <w:rsid w:val="007F7D3F"/>
    <w:rsid w:val="008257F5"/>
    <w:rsid w:val="00826144"/>
    <w:rsid w:val="0083178C"/>
    <w:rsid w:val="008450AE"/>
    <w:rsid w:val="00882268"/>
    <w:rsid w:val="00890937"/>
    <w:rsid w:val="008C348D"/>
    <w:rsid w:val="008D4276"/>
    <w:rsid w:val="008F7FC0"/>
    <w:rsid w:val="0091126F"/>
    <w:rsid w:val="00911C91"/>
    <w:rsid w:val="00935D16"/>
    <w:rsid w:val="00940231"/>
    <w:rsid w:val="00946430"/>
    <w:rsid w:val="00947F8C"/>
    <w:rsid w:val="009928ED"/>
    <w:rsid w:val="009A2A74"/>
    <w:rsid w:val="009A56F7"/>
    <w:rsid w:val="009C07B6"/>
    <w:rsid w:val="009C0BBA"/>
    <w:rsid w:val="009F103C"/>
    <w:rsid w:val="00A04241"/>
    <w:rsid w:val="00A17816"/>
    <w:rsid w:val="00A27BC6"/>
    <w:rsid w:val="00A44EB2"/>
    <w:rsid w:val="00A53624"/>
    <w:rsid w:val="00A66AAF"/>
    <w:rsid w:val="00A66E48"/>
    <w:rsid w:val="00A80BF4"/>
    <w:rsid w:val="00A84BD9"/>
    <w:rsid w:val="00A85F97"/>
    <w:rsid w:val="00AA35F7"/>
    <w:rsid w:val="00AB6B06"/>
    <w:rsid w:val="00AC7449"/>
    <w:rsid w:val="00AE13C5"/>
    <w:rsid w:val="00B1499A"/>
    <w:rsid w:val="00B21DBE"/>
    <w:rsid w:val="00B47D72"/>
    <w:rsid w:val="00BA137E"/>
    <w:rsid w:val="00BA2F0B"/>
    <w:rsid w:val="00BB5B1A"/>
    <w:rsid w:val="00BE2B69"/>
    <w:rsid w:val="00BE5478"/>
    <w:rsid w:val="00C04A27"/>
    <w:rsid w:val="00C100F3"/>
    <w:rsid w:val="00C2706D"/>
    <w:rsid w:val="00C33951"/>
    <w:rsid w:val="00C60E09"/>
    <w:rsid w:val="00C91D7D"/>
    <w:rsid w:val="00C94895"/>
    <w:rsid w:val="00CB038B"/>
    <w:rsid w:val="00CD126C"/>
    <w:rsid w:val="00D17C39"/>
    <w:rsid w:val="00D54911"/>
    <w:rsid w:val="00D62567"/>
    <w:rsid w:val="00D642CA"/>
    <w:rsid w:val="00D76F29"/>
    <w:rsid w:val="00D92831"/>
    <w:rsid w:val="00D94BBA"/>
    <w:rsid w:val="00DE0DD2"/>
    <w:rsid w:val="00DE2A40"/>
    <w:rsid w:val="00E06A9A"/>
    <w:rsid w:val="00E113B1"/>
    <w:rsid w:val="00E30B88"/>
    <w:rsid w:val="00E5294E"/>
    <w:rsid w:val="00E53440"/>
    <w:rsid w:val="00E74D3F"/>
    <w:rsid w:val="00E90875"/>
    <w:rsid w:val="00E93EC0"/>
    <w:rsid w:val="00EA1C57"/>
    <w:rsid w:val="00F00FFC"/>
    <w:rsid w:val="00F23A7A"/>
    <w:rsid w:val="00F243EB"/>
    <w:rsid w:val="00F3533E"/>
    <w:rsid w:val="00F535A0"/>
    <w:rsid w:val="00F56F38"/>
    <w:rsid w:val="00F619E8"/>
    <w:rsid w:val="00F66C5E"/>
    <w:rsid w:val="00F8701D"/>
    <w:rsid w:val="00F90FB3"/>
    <w:rsid w:val="00F9359A"/>
    <w:rsid w:val="00FA35A9"/>
    <w:rsid w:val="00FA4FD4"/>
    <w:rsid w:val="00FB1AB1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F781D9-BC1B-4385-9321-5F02889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mba-rankings/oceania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20/world-ran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8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ABD1-84C6-40FE-9063-EDBCF3BB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13</cp:revision>
  <dcterms:created xsi:type="dcterms:W3CDTF">2012-01-14T03:49:00Z</dcterms:created>
  <dcterms:modified xsi:type="dcterms:W3CDTF">2019-11-05T10:43:00Z</dcterms:modified>
</cp:coreProperties>
</file>