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sz w:val="16"/>
          <w:szCs w:val="16"/>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El contenido de esta ficha solo tiene carácter informativo para intentar ayudar al futuro estudiante de intercambio internacional. No tiene validez oficial. Si detecta algún error en la información o desea realizar alguna sugerencia puede hacerlo a través del siguiente E-mail: </w:t>
      </w:r>
      <w:hyperlink r:id="rId7">
        <w:r w:rsidDel="00000000" w:rsidR="00000000" w:rsidRPr="00000000">
          <w:rPr>
            <w:rFonts w:ascii="Verdana" w:cs="Verdana" w:eastAsia="Verdana" w:hAnsi="Verdana"/>
            <w:i w:val="1"/>
            <w:color w:val="1155cc"/>
            <w:sz w:val="16"/>
            <w:szCs w:val="16"/>
            <w:u w:val="single"/>
            <w:rtl w:val="0"/>
          </w:rPr>
          <w:t xml:space="preserve">mne@uc3m.es</w:t>
        </w:r>
      </w:hyperlink>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i w:val="1"/>
          <w:sz w:val="16"/>
          <w:szCs w:val="16"/>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4775200</wp:posOffset>
            </wp:positionH>
            <wp:positionV relativeFrom="paragraph">
              <wp:posOffset>16510</wp:posOffset>
            </wp:positionV>
            <wp:extent cx="1133475" cy="1133475"/>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133475" cy="1133475"/>
                    </a:xfrm>
                    <a:prstGeom prst="rect"/>
                    <a:ln/>
                  </pic:spPr>
                </pic:pic>
              </a:graphicData>
            </a:graphic>
          </wp:anchor>
        </w:drawing>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University of Utah</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Salt Lake City</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1"/>
          <w:i w:val="0"/>
          <w:smallCaps w:val="0"/>
          <w:strike w:val="0"/>
          <w:color w:val="000000"/>
          <w:sz w:val="26"/>
          <w:szCs w:val="26"/>
          <w:u w:val="none"/>
          <w:shd w:fill="auto" w:val="clear"/>
          <w:vertAlign w:val="baseline"/>
          <w:rtl w:val="0"/>
        </w:rPr>
        <w:t xml:space="preserve">Estados Unidos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jc w:val="right"/>
        <w:rPr/>
      </w:pPr>
      <w:r w:rsidDel="00000000" w:rsidR="00000000" w:rsidRPr="00000000">
        <w:rPr>
          <w:rtl w:val="0"/>
        </w:rPr>
      </w:r>
    </w:p>
    <w:p w:rsidR="00000000" w:rsidDel="00000000" w:rsidP="00000000" w:rsidRDefault="00000000" w:rsidRPr="00000000" w14:paraId="0000000A">
      <w:pPr>
        <w:pStyle w:val="Heading1"/>
        <w:jc w:val="right"/>
        <w:rPr>
          <w:sz w:val="20"/>
          <w:szCs w:val="20"/>
        </w:rPr>
      </w:pPr>
      <w:bookmarkStart w:colFirst="0" w:colLast="0" w:name="_heading=h.gjdgxs" w:id="0"/>
      <w:bookmarkEnd w:id="0"/>
      <w:r w:rsidDel="00000000" w:rsidR="00000000" w:rsidRPr="00000000">
        <w:rPr>
          <w:rtl w:val="0"/>
        </w:rPr>
        <w:t xml:space="preserve">Última actualización: Junio 2020</w:t>
      </w:r>
      <w:r w:rsidDel="00000000" w:rsidR="00000000" w:rsidRPr="00000000">
        <w:rPr>
          <w:rtl w:val="0"/>
        </w:rPr>
      </w:r>
    </w:p>
    <w:tbl>
      <w:tblPr>
        <w:tblStyle w:val="Table1"/>
        <w:tblW w:w="10150.0" w:type="dxa"/>
        <w:jc w:val="center"/>
        <w:tblBorders>
          <w:top w:color="000000" w:space="0" w:sz="4" w:val="single"/>
          <w:bottom w:color="000000" w:space="0" w:sz="4" w:val="single"/>
          <w:insideH w:color="000000" w:space="0" w:sz="4" w:val="single"/>
        </w:tblBorders>
        <w:tblLayout w:type="fixed"/>
        <w:tblLook w:val="0000"/>
      </w:tblPr>
      <w:tblGrid>
        <w:gridCol w:w="2666"/>
        <w:gridCol w:w="7484"/>
        <w:tblGridChange w:id="0">
          <w:tblGrid>
            <w:gridCol w:w="2666"/>
            <w:gridCol w:w="7484"/>
          </w:tblGrid>
        </w:tblGridChange>
      </w:tblGrid>
      <w:tr>
        <w:trPr>
          <w:trHeight w:val="2069" w:hRule="atLeast"/>
        </w:trPr>
        <w:tc>
          <w:tcPr>
            <w:tcBorders>
              <w:bottom w:color="000000" w:space="0" w:sz="4" w:val="single"/>
            </w:tcBorders>
          </w:tcPr>
          <w:p w:rsidR="00000000" w:rsidDel="00000000" w:rsidP="00000000" w:rsidRDefault="00000000" w:rsidRPr="00000000" w14:paraId="0000000B">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RESUMEN</w:t>
            </w:r>
          </w:p>
        </w:tc>
        <w:tc>
          <w:tcPr>
            <w:tcBorders>
              <w:bottom w:color="000000" w:space="0" w:sz="4" w:val="single"/>
            </w:tcBorders>
          </w:tcPr>
          <w:p w:rsidR="00000000" w:rsidDel="00000000" w:rsidP="00000000" w:rsidRDefault="00000000" w:rsidRPr="00000000" w14:paraId="0000000C">
            <w:pPr>
              <w:spacing w:after="120" w:before="120" w:lineRule="auto"/>
              <w:jc w:val="both"/>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La</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sz w:val="20"/>
                <w:szCs w:val="20"/>
                <w:rtl w:val="0"/>
              </w:rPr>
              <w:t xml:space="preserve">Universidad de Utah es un centro público situado en la ciudad olímpica Salt Lake City. Fue fundada en 1850 y es la más antigua de este estado. La universidad cuenta con cerca de 30.000 estudiantes ofreciendo más de 70 distintos grados. Muchos de los centros donde se hospedaron los deportistas olímpicos fueros cedidos a la universidad utilizándose actualmente como residencias. A nivel internacional se encuentra en el puesto 101-150 de mejores universidades del mundo según </w:t>
            </w:r>
            <w:r w:rsidDel="00000000" w:rsidR="00000000" w:rsidRPr="00000000">
              <w:rPr>
                <w:rFonts w:ascii="Verdana" w:cs="Verdana" w:eastAsia="Verdana" w:hAnsi="Verdana"/>
                <w:i w:val="1"/>
                <w:sz w:val="20"/>
                <w:szCs w:val="20"/>
                <w:rtl w:val="0"/>
              </w:rPr>
              <w:t xml:space="preserve">ARWU, </w:t>
            </w:r>
            <w:r w:rsidDel="00000000" w:rsidR="00000000" w:rsidRPr="00000000">
              <w:rPr>
                <w:rFonts w:ascii="Verdana" w:cs="Verdana" w:eastAsia="Verdana" w:hAnsi="Verdana"/>
                <w:sz w:val="20"/>
                <w:szCs w:val="20"/>
                <w:rtl w:val="0"/>
              </w:rPr>
              <w:t xml:space="preserve">391 según </w:t>
            </w:r>
            <w:r w:rsidDel="00000000" w:rsidR="00000000" w:rsidRPr="00000000">
              <w:rPr>
                <w:rFonts w:ascii="Verdana" w:cs="Verdana" w:eastAsia="Verdana" w:hAnsi="Verdana"/>
                <w:i w:val="1"/>
                <w:sz w:val="20"/>
                <w:szCs w:val="20"/>
                <w:rtl w:val="0"/>
              </w:rPr>
              <w:t xml:space="preserve">QS</w:t>
            </w:r>
            <w:r w:rsidDel="00000000" w:rsidR="00000000" w:rsidRPr="00000000">
              <w:rPr>
                <w:rFonts w:ascii="Verdana" w:cs="Verdana" w:eastAsia="Verdana" w:hAnsi="Verdana"/>
                <w:sz w:val="20"/>
                <w:szCs w:val="20"/>
                <w:rtl w:val="0"/>
              </w:rPr>
              <w:t xml:space="preserve"> y 201-250 según </w:t>
            </w:r>
            <w:r w:rsidDel="00000000" w:rsidR="00000000" w:rsidRPr="00000000">
              <w:rPr>
                <w:rFonts w:ascii="Verdana" w:cs="Verdana" w:eastAsia="Verdana" w:hAnsi="Verdana"/>
                <w:i w:val="1"/>
                <w:sz w:val="20"/>
                <w:szCs w:val="20"/>
                <w:rtl w:val="0"/>
              </w:rPr>
              <w:t xml:space="preserve">THE</w:t>
            </w:r>
            <w:r w:rsidDel="00000000" w:rsidR="00000000" w:rsidRPr="00000000">
              <w:rPr>
                <w:rFonts w:ascii="Verdana" w:cs="Verdana" w:eastAsia="Verdana" w:hAnsi="Verdana"/>
                <w:sz w:val="20"/>
                <w:szCs w:val="2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2687320</wp:posOffset>
                  </wp:positionH>
                  <wp:positionV relativeFrom="paragraph">
                    <wp:posOffset>98425</wp:posOffset>
                  </wp:positionV>
                  <wp:extent cx="2066925" cy="1206500"/>
                  <wp:effectExtent b="0" l="0" r="0" t="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066925" cy="1206500"/>
                          </a:xfrm>
                          <a:prstGeom prst="rect"/>
                          <a:ln/>
                        </pic:spPr>
                      </pic:pic>
                    </a:graphicData>
                  </a:graphic>
                </wp:anchor>
              </w:drawing>
            </w:r>
          </w:p>
        </w:tc>
      </w:tr>
      <w:tr>
        <w:trPr>
          <w:trHeight w:val="1021" w:hRule="atLeast"/>
        </w:trPr>
        <w:tc>
          <w:tcPr>
            <w:tcBorders>
              <w:bottom w:color="000000" w:space="0" w:sz="4" w:val="single"/>
            </w:tcBorders>
          </w:tcPr>
          <w:p w:rsidR="00000000" w:rsidDel="00000000" w:rsidP="00000000" w:rsidRDefault="00000000" w:rsidRPr="00000000" w14:paraId="0000000D">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WEB</w:t>
            </w:r>
          </w:p>
        </w:tc>
        <w:tc>
          <w:tcPr>
            <w:tcBorders>
              <w:bottom w:color="000000" w:space="0" w:sz="4" w:val="single"/>
            </w:tcBorders>
          </w:tcPr>
          <w:p w:rsidR="00000000" w:rsidDel="00000000" w:rsidP="00000000" w:rsidRDefault="00000000" w:rsidRPr="00000000" w14:paraId="0000000E">
            <w:pPr>
              <w:spacing w:after="120" w:before="120" w:lineRule="auto"/>
              <w:jc w:val="both"/>
              <w:rPr>
                <w:rFonts w:ascii="Verdana" w:cs="Verdana" w:eastAsia="Verdana" w:hAnsi="Verdana"/>
                <w:sz w:val="20"/>
                <w:szCs w:val="20"/>
              </w:rPr>
            </w:pPr>
            <w:hyperlink r:id="rId10">
              <w:r w:rsidDel="00000000" w:rsidR="00000000" w:rsidRPr="00000000">
                <w:rPr>
                  <w:rFonts w:ascii="Verdana" w:cs="Verdana" w:eastAsia="Verdana" w:hAnsi="Verdana"/>
                  <w:color w:val="0000ff"/>
                  <w:sz w:val="20"/>
                  <w:szCs w:val="20"/>
                  <w:u w:val="single"/>
                  <w:rtl w:val="0"/>
                </w:rPr>
                <w:t xml:space="preserve">http://www.utah.edu/</w:t>
              </w:r>
            </w:hyperlink>
            <w:r w:rsidDel="00000000" w:rsidR="00000000" w:rsidRPr="00000000">
              <w:rPr>
                <w:rtl w:val="0"/>
              </w:rPr>
            </w:r>
          </w:p>
          <w:p w:rsidR="00000000" w:rsidDel="00000000" w:rsidP="00000000" w:rsidRDefault="00000000" w:rsidRPr="00000000" w14:paraId="0000000F">
            <w:pPr>
              <w:spacing w:after="120" w:before="120" w:lineRule="auto"/>
              <w:jc w:val="both"/>
              <w:rPr>
                <w:rFonts w:ascii="Verdana" w:cs="Verdana" w:eastAsia="Verdana" w:hAnsi="Verdana"/>
                <w:sz w:val="20"/>
                <w:szCs w:val="20"/>
              </w:rPr>
            </w:pPr>
            <w:r w:rsidDel="00000000" w:rsidR="00000000" w:rsidRPr="00000000">
              <w:rPr>
                <w:rtl w:val="0"/>
              </w:rPr>
            </w:r>
          </w:p>
        </w:tc>
      </w:tr>
      <w:tr>
        <w:trPr>
          <w:trHeight w:val="1021" w:hRule="atLeast"/>
        </w:trPr>
        <w:tc>
          <w:tcPr>
            <w:tcBorders>
              <w:bottom w:color="000000" w:space="0" w:sz="0" w:val="nil"/>
            </w:tcBorders>
          </w:tcPr>
          <w:p w:rsidR="00000000" w:rsidDel="00000000" w:rsidP="00000000" w:rsidRDefault="00000000" w:rsidRPr="00000000" w14:paraId="00000010">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INFORMACIÓN PARA ALUMNOS INTERNACIONALES</w:t>
            </w:r>
          </w:p>
        </w:tc>
        <w:tc>
          <w:tcPr>
            <w:tcBorders>
              <w:bottom w:color="000000" w:space="0" w:sz="0" w:val="nil"/>
            </w:tcBorders>
          </w:tcPr>
          <w:p w:rsidR="00000000" w:rsidDel="00000000" w:rsidP="00000000" w:rsidRDefault="00000000" w:rsidRPr="00000000" w14:paraId="00000011">
            <w:pPr>
              <w:spacing w:after="120" w:before="120" w:lineRule="auto"/>
              <w:jc w:val="both"/>
              <w:rPr>
                <w:rFonts w:ascii="Verdana" w:cs="Verdana" w:eastAsia="Verdana" w:hAnsi="Verdana"/>
                <w:color w:val="0000ff"/>
                <w:sz w:val="20"/>
                <w:szCs w:val="20"/>
                <w:u w:val="single"/>
              </w:rPr>
            </w:pPr>
            <w:hyperlink r:id="rId11">
              <w:r w:rsidDel="00000000" w:rsidR="00000000" w:rsidRPr="00000000">
                <w:rPr>
                  <w:rFonts w:ascii="Verdana" w:cs="Verdana" w:eastAsia="Verdana" w:hAnsi="Verdana"/>
                  <w:color w:val="0000ff"/>
                  <w:sz w:val="20"/>
                  <w:szCs w:val="20"/>
                  <w:u w:val="single"/>
                  <w:rtl w:val="0"/>
                </w:rPr>
                <w:t xml:space="preserve">http://admissions.utah.edu/international/</w:t>
              </w:r>
            </w:hyperlink>
            <w:r w:rsidDel="00000000" w:rsidR="00000000" w:rsidRPr="00000000">
              <w:rPr>
                <w:rtl w:val="0"/>
              </w:rPr>
            </w:r>
          </w:p>
          <w:p w:rsidR="00000000" w:rsidDel="00000000" w:rsidP="00000000" w:rsidRDefault="00000000" w:rsidRPr="00000000" w14:paraId="00000012">
            <w:pPr>
              <w:spacing w:after="120" w:before="120" w:lineRule="auto"/>
              <w:jc w:val="both"/>
              <w:rPr>
                <w:rFonts w:ascii="Verdana" w:cs="Verdana" w:eastAsia="Verdana" w:hAnsi="Verdana"/>
                <w:sz w:val="20"/>
                <w:szCs w:val="20"/>
              </w:rPr>
            </w:pPr>
            <w:hyperlink r:id="rId12">
              <w:r w:rsidDel="00000000" w:rsidR="00000000" w:rsidRPr="00000000">
                <w:rPr>
                  <w:rFonts w:ascii="Verdana" w:cs="Verdana" w:eastAsia="Verdana" w:hAnsi="Verdana"/>
                  <w:color w:val="0000ff"/>
                  <w:sz w:val="20"/>
                  <w:szCs w:val="20"/>
                  <w:u w:val="single"/>
                  <w:rtl w:val="0"/>
                </w:rPr>
                <w:t xml:space="preserve">http://internationalcenter.utah.edu/</w:t>
              </w:r>
            </w:hyperlink>
            <w:r w:rsidDel="00000000" w:rsidR="00000000" w:rsidRPr="00000000">
              <w:rPr>
                <w:rtl w:val="0"/>
              </w:rPr>
            </w:r>
          </w:p>
        </w:tc>
      </w:tr>
      <w:tr>
        <w:trPr>
          <w:trHeight w:val="1021" w:hRule="atLeast"/>
        </w:trPr>
        <w:tc>
          <w:tcPr>
            <w:tcBorders>
              <w:bottom w:color="000000" w:space="0" w:sz="0" w:val="nil"/>
            </w:tcBorders>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1"/>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ÁREAS CON CONVENIO</w:t>
            </w:r>
          </w:p>
        </w:tc>
        <w:tc>
          <w:tcPr>
            <w:tcBorders>
              <w:bottom w:color="000000" w:space="0" w:sz="0" w:val="nil"/>
            </w:tcBorders>
          </w:tcPr>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rtl w:val="0"/>
              </w:rPr>
              <w:t xml:space="preserve">Secretaría Virtual</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r>
      <w:tr>
        <w:trPr>
          <w:trHeight w:val="816" w:hRule="atLeast"/>
        </w:trPr>
        <w:tc>
          <w:tcPr>
            <w:tcBorders>
              <w:bottom w:color="000000" w:space="0" w:sz="0" w:val="nil"/>
            </w:tcBorders>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1"/>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COORDINADORES ACADÉMICOS</w:t>
            </w:r>
          </w:p>
        </w:tc>
        <w:tc>
          <w:tcPr>
            <w:tcBorders>
              <w:bottom w:color="000000" w:space="0" w:sz="0" w:val="nil"/>
            </w:tcBorders>
          </w:tcPr>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rtl w:val="0"/>
              </w:rPr>
              <w:t xml:space="preserve">Secretaría Virtual</w:t>
            </w:r>
            <w:r w:rsidDel="00000000" w:rsidR="00000000" w:rsidRPr="00000000">
              <w:rPr>
                <w:rFonts w:ascii="Verdana" w:cs="Verdana" w:eastAsia="Verdana" w:hAnsi="Verdana"/>
                <w:sz w:val="20"/>
                <w:szCs w:val="20"/>
                <w:rtl w:val="0"/>
              </w:rPr>
              <w:t xml:space="preserve">.</w:t>
            </w:r>
          </w:p>
        </w:tc>
      </w:tr>
      <w:tr>
        <w:trPr>
          <w:trHeight w:val="1021" w:hRule="atLeast"/>
        </w:trPr>
        <w:tc>
          <w:tcPr/>
          <w:p w:rsidR="00000000" w:rsidDel="00000000" w:rsidP="00000000" w:rsidRDefault="00000000" w:rsidRPr="00000000" w14:paraId="00000018">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IDIOMA DE LOS CURSOS</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Los cursos son impartidos 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inglés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Consulta las bases de la Convocatoria MNE de cada año en la página de movilidad en tu </w:t>
            </w:r>
            <w:r w:rsidDel="00000000" w:rsidR="00000000" w:rsidRPr="00000000">
              <w:rPr>
                <w:rFonts w:ascii="Verdana" w:cs="Verdana" w:eastAsia="Verdana" w:hAnsi="Verdana"/>
                <w:b w:val="1"/>
                <w:sz w:val="20"/>
                <w:szCs w:val="20"/>
                <w:rtl w:val="0"/>
              </w:rPr>
              <w:t xml:space="preserve">Secretaría Virtual</w:t>
            </w:r>
            <w:r w:rsidDel="00000000" w:rsidR="00000000" w:rsidRPr="00000000">
              <w:rPr>
                <w:rFonts w:ascii="Verdana" w:cs="Verdana" w:eastAsia="Verdana" w:hAnsi="Verdana"/>
                <w:sz w:val="20"/>
                <w:szCs w:val="20"/>
                <w:rtl w:val="0"/>
              </w:rPr>
              <w:t xml:space="preserve">.</w:t>
            </w:r>
          </w:p>
        </w:tc>
      </w:tr>
      <w:tr>
        <w:trPr>
          <w:trHeight w:val="1021"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B">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DEADLINES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C">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estudiante debe tener en cuenta que resulta de vital importancia respetar las fechas límite establecidas por la Universidad de destino para el envío de toda la documentación necesaria</w:t>
            </w:r>
          </w:p>
          <w:p w:rsidR="00000000" w:rsidDel="00000000" w:rsidP="00000000" w:rsidRDefault="00000000" w:rsidRPr="00000000" w14:paraId="0000001D">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Fall Semester: </w:t>
            </w:r>
            <w:r w:rsidDel="00000000" w:rsidR="00000000" w:rsidRPr="00000000">
              <w:rPr>
                <w:rFonts w:ascii="Verdana" w:cs="Verdana" w:eastAsia="Verdana" w:hAnsi="Verdana"/>
                <w:sz w:val="20"/>
                <w:szCs w:val="20"/>
                <w:rtl w:val="0"/>
              </w:rPr>
              <w:t xml:space="preserve">1 de julio</w:t>
            </w:r>
          </w:p>
          <w:p w:rsidR="00000000" w:rsidDel="00000000" w:rsidP="00000000" w:rsidRDefault="00000000" w:rsidRPr="00000000" w14:paraId="0000001E">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Spring Semester: </w:t>
            </w:r>
            <w:r w:rsidDel="00000000" w:rsidR="00000000" w:rsidRPr="00000000">
              <w:rPr>
                <w:rFonts w:ascii="Verdana" w:cs="Verdana" w:eastAsia="Verdana" w:hAnsi="Verdana"/>
                <w:sz w:val="20"/>
                <w:szCs w:val="20"/>
                <w:rtl w:val="0"/>
              </w:rPr>
              <w:t xml:space="preserve">15 de noviembre</w:t>
            </w:r>
          </w:p>
          <w:p w:rsidR="00000000" w:rsidDel="00000000" w:rsidP="00000000" w:rsidRDefault="00000000" w:rsidRPr="00000000" w14:paraId="0000001F">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Estas fechas límite suelen cambiar cada curso académico por lo que se recomienda al alumno consultar las fechas límite concretas para el presente curso académico en la Web.</w:t>
            </w:r>
          </w:p>
          <w:p w:rsidR="00000000" w:rsidDel="00000000" w:rsidP="00000000" w:rsidRDefault="00000000" w:rsidRPr="00000000" w14:paraId="00000020">
            <w:pPr>
              <w:spacing w:after="120" w:before="120" w:lineRule="auto"/>
              <w:jc w:val="both"/>
              <w:rPr>
                <w:rFonts w:ascii="Verdana" w:cs="Verdana" w:eastAsia="Verdana" w:hAnsi="Verdana"/>
                <w:sz w:val="20"/>
                <w:szCs w:val="20"/>
              </w:rPr>
            </w:pPr>
            <w:hyperlink r:id="rId13">
              <w:r w:rsidDel="00000000" w:rsidR="00000000" w:rsidRPr="00000000">
                <w:rPr>
                  <w:rFonts w:ascii="Verdana" w:cs="Verdana" w:eastAsia="Verdana" w:hAnsi="Verdana"/>
                  <w:color w:val="0000ff"/>
                  <w:sz w:val="20"/>
                  <w:szCs w:val="20"/>
                  <w:u w:val="single"/>
                  <w:rtl w:val="0"/>
                </w:rPr>
                <w:t xml:space="preserve">http://admissions.utah.edu/international/transfer/transfer_deadlines.php</w:t>
              </w:r>
            </w:hyperlink>
            <w:r w:rsidDel="00000000" w:rsidR="00000000" w:rsidRPr="00000000">
              <w:rPr>
                <w:rtl w:val="0"/>
              </w:rPr>
            </w:r>
          </w:p>
        </w:tc>
      </w:tr>
      <w:tr>
        <w:trPr>
          <w:trHeight w:val="1021" w:hRule="atLeast"/>
        </w:trPr>
        <w:tc>
          <w:tcPr/>
          <w:p w:rsidR="00000000" w:rsidDel="00000000" w:rsidP="00000000" w:rsidRDefault="00000000" w:rsidRPr="00000000" w14:paraId="00000021">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CALENDARIO ACADÉMICO</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Fall Semester: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Agosto - Diciembre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Spring Semester: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Enero - Mayo</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hyperlink r:id="rId14">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http://registrar.utah.edu/academic-calendars/</w:t>
              </w:r>
            </w:hyperlink>
            <w:r w:rsidDel="00000000" w:rsidR="00000000" w:rsidRPr="00000000">
              <w:rPr>
                <w:rtl w:val="0"/>
              </w:rPr>
            </w:r>
          </w:p>
        </w:tc>
      </w:tr>
      <w:tr>
        <w:trPr>
          <w:trHeight w:val="1021" w:hRule="atLeast"/>
        </w:trPr>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1"/>
                <w:i w:val="0"/>
                <w:smallCaps w:val="0"/>
                <w:strike w:val="0"/>
                <w:color w:val="00008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80"/>
                <w:sz w:val="20"/>
                <w:szCs w:val="20"/>
                <w:u w:val="none"/>
                <w:shd w:fill="auto" w:val="clear"/>
                <w:vertAlign w:val="baseline"/>
                <w:rtl w:val="0"/>
              </w:rPr>
              <w:t xml:space="preserve">INFORMACIÓN ACADÉMICA</w:t>
            </w:r>
          </w:p>
        </w:tc>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clases son obligatorias.</w:t>
            </w:r>
          </w:p>
        </w:tc>
      </w:tr>
      <w:tr>
        <w:trPr>
          <w:trHeight w:val="902" w:hRule="atLeast"/>
        </w:trPr>
        <w:tc>
          <w:tcPr>
            <w:tcBorders>
              <w:bottom w:color="000000" w:space="0" w:sz="4" w:val="single"/>
            </w:tcBorders>
          </w:tcPr>
          <w:p w:rsidR="00000000" w:rsidDel="00000000" w:rsidP="00000000" w:rsidRDefault="00000000" w:rsidRPr="00000000" w14:paraId="00000027">
            <w:pPr>
              <w:spacing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ALOJAMIENTO</w:t>
            </w:r>
          </w:p>
        </w:tc>
        <w:tc>
          <w:tcPr>
            <w:tcBorders>
              <w:bottom w:color="000000" w:space="0" w:sz="4" w:val="single"/>
            </w:tcBorders>
          </w:tcPr>
          <w:p w:rsidR="00000000" w:rsidDel="00000000" w:rsidP="00000000" w:rsidRDefault="00000000" w:rsidRPr="00000000" w14:paraId="00000028">
            <w:pPr>
              <w:spacing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universidad ofrece tanto residencias como pisos a precios competentes: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hyperlink r:id="rId15">
              <w:r w:rsidDel="00000000" w:rsidR="00000000" w:rsidRPr="00000000">
                <w:rPr>
                  <w:rFonts w:ascii="Verdana" w:cs="Verdana" w:eastAsia="Verdana" w:hAnsi="Verdana"/>
                  <w:b w:val="0"/>
                  <w:i w:val="0"/>
                  <w:smallCaps w:val="0"/>
                  <w:strike w:val="0"/>
                  <w:color w:val="0000ff"/>
                  <w:sz w:val="20"/>
                  <w:szCs w:val="20"/>
                  <w:u w:val="single"/>
                  <w:shd w:fill="auto" w:val="clear"/>
                  <w:vertAlign w:val="baseline"/>
                  <w:rtl w:val="0"/>
                </w:rPr>
                <w:t xml:space="preserve">http://housing.utah.edu/options/undergraduate/</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tc>
      </w:tr>
      <w:tr>
        <w:trPr>
          <w:trHeight w:val="1021" w:hRule="atLeast"/>
        </w:trPr>
        <w:tc>
          <w:tcPr>
            <w:tcBorders>
              <w:top w:color="000000" w:space="0" w:sz="4" w:val="single"/>
              <w:bottom w:color="000000" w:space="0" w:sz="4" w:val="single"/>
              <w:right w:color="000000" w:space="0" w:sz="0" w:val="nil"/>
            </w:tcBorders>
          </w:tcPr>
          <w:p w:rsidR="00000000" w:rsidDel="00000000" w:rsidP="00000000" w:rsidRDefault="00000000" w:rsidRPr="00000000" w14:paraId="0000002A">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SEGURO MÉDICO</w:t>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2B">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 obligatorio tener contratado el seguro médico de la universidad o uno que previamente haya sido autorizado por la misma: </w:t>
            </w:r>
          </w:p>
          <w:p w:rsidR="00000000" w:rsidDel="00000000" w:rsidP="00000000" w:rsidRDefault="00000000" w:rsidRPr="00000000" w14:paraId="0000002C">
            <w:pPr>
              <w:spacing w:after="120" w:before="120" w:lineRule="auto"/>
              <w:jc w:val="both"/>
              <w:rPr>
                <w:rFonts w:ascii="Verdana" w:cs="Verdana" w:eastAsia="Verdana" w:hAnsi="Verdana"/>
                <w:sz w:val="20"/>
                <w:szCs w:val="20"/>
              </w:rPr>
            </w:pPr>
            <w:hyperlink r:id="rId16">
              <w:r w:rsidDel="00000000" w:rsidR="00000000" w:rsidRPr="00000000">
                <w:rPr>
                  <w:rFonts w:ascii="Verdana" w:cs="Verdana" w:eastAsia="Verdana" w:hAnsi="Verdana"/>
                  <w:color w:val="0000ff"/>
                  <w:sz w:val="20"/>
                  <w:szCs w:val="20"/>
                  <w:u w:val="single"/>
                  <w:rtl w:val="0"/>
                </w:rPr>
                <w:t xml:space="preserve">http://studenthealth.utah.edu/insurance/index.php</w:t>
              </w:r>
            </w:hyperlink>
            <w:r w:rsidDel="00000000" w:rsidR="00000000" w:rsidRPr="00000000">
              <w:rPr>
                <w:rtl w:val="0"/>
              </w:rPr>
            </w:r>
          </w:p>
        </w:tc>
      </w:tr>
      <w:tr>
        <w:trPr>
          <w:trHeight w:val="1021" w:hRule="atLeast"/>
        </w:trPr>
        <w:tc>
          <w:tcPr>
            <w:tcBorders>
              <w:top w:color="000000" w:space="0" w:sz="4" w:val="single"/>
              <w:bottom w:color="000000" w:space="0" w:sz="4" w:val="single"/>
              <w:right w:color="000000" w:space="0" w:sz="0" w:val="nil"/>
            </w:tcBorders>
          </w:tcPr>
          <w:p w:rsidR="00000000" w:rsidDel="00000000" w:rsidP="00000000" w:rsidRDefault="00000000" w:rsidRPr="00000000" w14:paraId="0000002D">
            <w:pPr>
              <w:spacing w:after="120" w:before="120" w:lineRule="auto"/>
              <w:rPr>
                <w:rFonts w:ascii="Verdana" w:cs="Verdana" w:eastAsia="Verdana" w:hAnsi="Verdana"/>
                <w:b w:val="1"/>
                <w:color w:val="000080"/>
                <w:sz w:val="20"/>
                <w:szCs w:val="20"/>
              </w:rPr>
            </w:pPr>
            <w:r w:rsidDel="00000000" w:rsidR="00000000" w:rsidRPr="00000000">
              <w:rPr>
                <w:rFonts w:ascii="Verdana" w:cs="Verdana" w:eastAsia="Verdana" w:hAnsi="Verdana"/>
                <w:b w:val="1"/>
                <w:color w:val="000080"/>
                <w:sz w:val="20"/>
                <w:szCs w:val="20"/>
                <w:rtl w:val="0"/>
              </w:rPr>
              <w:t xml:space="preserve">RECOMENDACIONES DE VIAJE</w:t>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2E">
            <w:pPr>
              <w:spacing w:after="120" w:before="12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Recomendamos encarecidamente a los estudiantes consultar las recomendaciones de viaje que ofrece el Ministerio de Asuntos Exteriores y Cooperación</w:t>
            </w:r>
          </w:p>
          <w:p w:rsidR="00000000" w:rsidDel="00000000" w:rsidP="00000000" w:rsidRDefault="00000000" w:rsidRPr="00000000" w14:paraId="0000002F">
            <w:pPr>
              <w:spacing w:after="120" w:before="120" w:lineRule="auto"/>
              <w:jc w:val="both"/>
              <w:rPr>
                <w:rFonts w:ascii="Verdana" w:cs="Verdana" w:eastAsia="Verdana" w:hAnsi="Verdana"/>
                <w:sz w:val="20"/>
                <w:szCs w:val="20"/>
              </w:rPr>
            </w:pPr>
            <w:hyperlink r:id="rId17">
              <w:r w:rsidDel="00000000" w:rsidR="00000000" w:rsidRPr="00000000">
                <w:rPr>
                  <w:color w:val="0000ff"/>
                  <w:u w:val="single"/>
                  <w:rtl w:val="0"/>
                </w:rPr>
                <w:t xml:space="preserve">http://www.exteriores.gob.es/Portal/es/ServiciosAlCiudadano/SiViajasAlExtranjero/Paginas/DetalleRecomendacion.aspx?IdP=63</w:t>
              </w:r>
            </w:hyperlink>
            <w:r w:rsidDel="00000000" w:rsidR="00000000" w:rsidRPr="00000000">
              <w:rPr>
                <w:rtl w:val="0"/>
              </w:rPr>
            </w:r>
          </w:p>
        </w:tc>
      </w:tr>
    </w:tbl>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18" w:type="default"/>
      <w:pgSz w:h="16838" w:w="11906"/>
      <w:pgMar w:bottom="1701" w:top="426"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Verdana" w:cs="Verdana" w:eastAsia="Verdana" w:hAnsi="Verdana"/>
      <w:i w:val="1"/>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14871"/>
    <w:pPr>
      <w:spacing w:after="0" w:line="240" w:lineRule="auto"/>
    </w:pPr>
    <w:rPr>
      <w:rFonts w:ascii="Times New Roman" w:cs="Times New Roman" w:eastAsia="Times New Roman" w:hAnsi="Times New Roman"/>
      <w:sz w:val="24"/>
      <w:szCs w:val="24"/>
      <w:lang w:eastAsia="es-ES"/>
    </w:rPr>
  </w:style>
  <w:style w:type="paragraph" w:styleId="Ttulo1">
    <w:name w:val="heading 1"/>
    <w:basedOn w:val="Normal"/>
    <w:next w:val="Normal"/>
    <w:link w:val="Ttulo1Car"/>
    <w:qFormat w:val="1"/>
    <w:rsid w:val="00614871"/>
    <w:pPr>
      <w:keepNext w:val="1"/>
      <w:outlineLvl w:val="0"/>
    </w:pPr>
    <w:rPr>
      <w:rFonts w:ascii="Verdana" w:eastAsia="Verdana" w:hAnsi="Verdana"/>
      <w:i w:val="1"/>
      <w:sz w:val="18"/>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rsid w:val="00614871"/>
    <w:rPr>
      <w:rFonts w:ascii="Verdana" w:cs="Times New Roman" w:eastAsia="Verdana" w:hAnsi="Verdana"/>
      <w:i w:val="1"/>
      <w:sz w:val="18"/>
      <w:szCs w:val="20"/>
      <w:lang w:eastAsia="es-ES"/>
    </w:rPr>
  </w:style>
  <w:style w:type="paragraph" w:styleId="Textoindependiente">
    <w:name w:val="Body Text"/>
    <w:basedOn w:val="Normal"/>
    <w:link w:val="TextoindependienteCar"/>
    <w:semiHidden w:val="1"/>
    <w:rsid w:val="00614871"/>
    <w:pPr>
      <w:widowControl w:val="0"/>
      <w:suppressAutoHyphens w:val="1"/>
    </w:pPr>
    <w:rPr>
      <w:rFonts w:ascii="Verdana" w:eastAsia="Verdana" w:hAnsi="Verdana"/>
      <w:sz w:val="20"/>
      <w:szCs w:val="20"/>
      <w:lang w:val="en-US"/>
    </w:rPr>
  </w:style>
  <w:style w:type="character" w:styleId="TextoindependienteCar" w:customStyle="1">
    <w:name w:val="Texto independiente Car"/>
    <w:basedOn w:val="Fuentedeprrafopredeter"/>
    <w:link w:val="Textoindependiente"/>
    <w:semiHidden w:val="1"/>
    <w:rsid w:val="00614871"/>
    <w:rPr>
      <w:rFonts w:ascii="Verdana" w:cs="Times New Roman" w:eastAsia="Verdana" w:hAnsi="Verdana"/>
      <w:sz w:val="20"/>
      <w:szCs w:val="20"/>
      <w:lang w:eastAsia="es-ES" w:val="en-US"/>
    </w:rPr>
  </w:style>
  <w:style w:type="character" w:styleId="Hipervnculo">
    <w:name w:val="Hyperlink"/>
    <w:basedOn w:val="Fuentedeprrafopredeter"/>
    <w:semiHidden w:val="1"/>
    <w:rsid w:val="00614871"/>
    <w:rPr>
      <w:color w:val="0000ff"/>
      <w:u w:val="single"/>
    </w:rPr>
  </w:style>
  <w:style w:type="paragraph" w:styleId="Textoindependiente2">
    <w:name w:val="Body Text 2"/>
    <w:basedOn w:val="Normal"/>
    <w:link w:val="Textoindependiente2Car"/>
    <w:semiHidden w:val="1"/>
    <w:rsid w:val="00614871"/>
    <w:pPr>
      <w:jc w:val="both"/>
    </w:pPr>
    <w:rPr>
      <w:rFonts w:ascii="Verdana" w:hAnsi="Verdana"/>
      <w:bCs w:val="1"/>
      <w:sz w:val="20"/>
    </w:rPr>
  </w:style>
  <w:style w:type="character" w:styleId="Textoindependiente2Car" w:customStyle="1">
    <w:name w:val="Texto independiente 2 Car"/>
    <w:basedOn w:val="Fuentedeprrafopredeter"/>
    <w:link w:val="Textoindependiente2"/>
    <w:semiHidden w:val="1"/>
    <w:rsid w:val="00614871"/>
    <w:rPr>
      <w:rFonts w:ascii="Verdana" w:cs="Times New Roman" w:eastAsia="Times New Roman" w:hAnsi="Verdana"/>
      <w:bCs w:val="1"/>
      <w:sz w:val="20"/>
      <w:szCs w:val="24"/>
      <w:lang w:eastAsia="es-ES"/>
    </w:rPr>
  </w:style>
  <w:style w:type="paragraph" w:styleId="Textosinformato">
    <w:name w:val="Plain Text"/>
    <w:basedOn w:val="Normal"/>
    <w:link w:val="TextosinformatoCar"/>
    <w:uiPriority w:val="99"/>
    <w:unhideWhenUsed w:val="1"/>
    <w:rsid w:val="00614871"/>
    <w:pPr>
      <w:spacing w:after="100" w:afterAutospacing="1" w:before="100" w:beforeAutospacing="1"/>
    </w:pPr>
    <w:rPr>
      <w:lang w:eastAsia="en-US" w:val="en-US"/>
    </w:rPr>
  </w:style>
  <w:style w:type="character" w:styleId="TextosinformatoCar" w:customStyle="1">
    <w:name w:val="Texto sin formato Car"/>
    <w:basedOn w:val="Fuentedeprrafopredeter"/>
    <w:link w:val="Textosinformato"/>
    <w:uiPriority w:val="99"/>
    <w:rsid w:val="00614871"/>
    <w:rPr>
      <w:rFonts w:ascii="Times New Roman" w:cs="Times New Roman" w:eastAsia="Times New Roman" w:hAnsi="Times New Roman"/>
      <w:sz w:val="24"/>
      <w:szCs w:val="24"/>
      <w:lang w:val="en-US"/>
    </w:rPr>
  </w:style>
  <w:style w:type="paragraph" w:styleId="Encabezado">
    <w:name w:val="header"/>
    <w:basedOn w:val="Normal"/>
    <w:link w:val="EncabezadoCar"/>
    <w:uiPriority w:val="99"/>
    <w:semiHidden w:val="1"/>
    <w:unhideWhenUsed w:val="1"/>
    <w:rsid w:val="00614871"/>
    <w:pPr>
      <w:tabs>
        <w:tab w:val="center" w:pos="4419"/>
        <w:tab w:val="right" w:pos="8838"/>
      </w:tabs>
    </w:pPr>
  </w:style>
  <w:style w:type="character" w:styleId="EncabezadoCar" w:customStyle="1">
    <w:name w:val="Encabezado Car"/>
    <w:basedOn w:val="Fuentedeprrafopredeter"/>
    <w:link w:val="Encabezado"/>
    <w:uiPriority w:val="99"/>
    <w:semiHidden w:val="1"/>
    <w:rsid w:val="00614871"/>
    <w:rPr>
      <w:rFonts w:ascii="Times New Roman" w:cs="Times New Roman" w:eastAsia="Times New Roman" w:hAnsi="Times New Roman"/>
      <w:sz w:val="24"/>
      <w:szCs w:val="24"/>
      <w:lang w:eastAsia="es-ES"/>
    </w:rPr>
  </w:style>
  <w:style w:type="paragraph" w:styleId="Textodeglobo">
    <w:name w:val="Balloon Text"/>
    <w:basedOn w:val="Normal"/>
    <w:link w:val="TextodegloboCar"/>
    <w:uiPriority w:val="99"/>
    <w:semiHidden w:val="1"/>
    <w:unhideWhenUsed w:val="1"/>
    <w:rsid w:val="00614871"/>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14871"/>
    <w:rPr>
      <w:rFonts w:ascii="Tahoma" w:cs="Tahoma" w:eastAsia="Times New Roman" w:hAnsi="Tahoma"/>
      <w:sz w:val="16"/>
      <w:szCs w:val="16"/>
      <w:lang w:eastAsia="es-ES"/>
    </w:rPr>
  </w:style>
  <w:style w:type="character" w:styleId="Hipervnculovisitado">
    <w:name w:val="FollowedHyperlink"/>
    <w:basedOn w:val="Fuentedeprrafopredeter"/>
    <w:uiPriority w:val="99"/>
    <w:semiHidden w:val="1"/>
    <w:unhideWhenUsed w:val="1"/>
    <w:rsid w:val="008E5BAC"/>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admissions.utah.edu/international/" TargetMode="External"/><Relationship Id="rId10" Type="http://schemas.openxmlformats.org/officeDocument/2006/relationships/hyperlink" Target="http://www.utah.edu/" TargetMode="External"/><Relationship Id="rId13" Type="http://schemas.openxmlformats.org/officeDocument/2006/relationships/hyperlink" Target="http://admissions.utah.edu/international/transfer/transfer_deadlines.php" TargetMode="External"/><Relationship Id="rId12" Type="http://schemas.openxmlformats.org/officeDocument/2006/relationships/hyperlink" Target="http://internationalcenter.utah.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housing.utah.edu/options/undergraduate/" TargetMode="External"/><Relationship Id="rId14" Type="http://schemas.openxmlformats.org/officeDocument/2006/relationships/hyperlink" Target="http://registrar.utah.edu/academic-calendars/" TargetMode="External"/><Relationship Id="rId17" Type="http://schemas.openxmlformats.org/officeDocument/2006/relationships/hyperlink" Target="http://www.exteriores.gob.es/Portal/es/ServiciosAlCiudadano/SiViajasAlExtranjero/Paginas/DetalleRecomendacion.aspx?IdP=63" TargetMode="External"/><Relationship Id="rId16" Type="http://schemas.openxmlformats.org/officeDocument/2006/relationships/hyperlink" Target="http://studenthealth.utah.edu/insurance/index.php"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mne@uc3m.es" TargetMode="External"/><Relationship Id="rId8"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b0liWvkdjmoDgGbPsYw2tmELOQ==">AMUW2mXIHAk0F+HXLNRZ83ju9ghnphx/mqIzwlMVIdzACW1cAo910fMyCF+igJIx/NlhxXaXwGt9PEB+EXyj9WHlNmRuv9VQtS32CATabLqkPeo4KLUNzWAJhXz9LPt3u7/5naBWFNVL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2016-07-08T15:52:00Z</dcterms:created>
  <dc:creator>MAKSIMOV KIYKO, KIRYL KONSTANTINOVICH</dc:creator>
</cp:coreProperties>
</file>