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D72" w:rsidRDefault="005B0069">
      <w:pPr>
        <w:widowControl w:val="0"/>
        <w:pBdr>
          <w:top w:val="nil"/>
          <w:left w:val="nil"/>
          <w:bottom w:val="nil"/>
          <w:right w:val="nil"/>
          <w:between w:val="nil"/>
        </w:pBdr>
        <w:spacing w:line="240" w:lineRule="auto"/>
        <w:ind w:left="0" w:hanging="2"/>
        <w:jc w:val="both"/>
        <w:rPr>
          <w:rFonts w:ascii="Verdana" w:eastAsia="Verdana" w:hAnsi="Verdana" w:cs="Verdana"/>
          <w:i/>
          <w:color w:val="000000"/>
          <w:sz w:val="16"/>
          <w:szCs w:val="16"/>
        </w:rPr>
      </w:pPr>
      <w:r>
        <w:rPr>
          <w:rFonts w:ascii="Verdana" w:eastAsia="Verdana" w:hAnsi="Verdana" w:cs="Verdana"/>
          <w:i/>
          <w:color w:val="000000"/>
          <w:sz w:val="16"/>
          <w:szCs w:val="16"/>
        </w:rPr>
        <w:t xml:space="preserve">El contenido de esta ficha solo tiene carácter informativo para intentar ayudar al futuro estudiante de intercambio internacional. No tiene validez oficial. Si detecta algún error en la información o desea realizar alguna sugerencia puede hacerlo a través </w:t>
      </w:r>
      <w:r>
        <w:rPr>
          <w:rFonts w:ascii="Verdana" w:eastAsia="Verdana" w:hAnsi="Verdana" w:cs="Verdana"/>
          <w:i/>
          <w:color w:val="000000"/>
          <w:sz w:val="16"/>
          <w:szCs w:val="16"/>
        </w:rPr>
        <w:t xml:space="preserve">del siguiente E-mail: </w:t>
      </w:r>
      <w:hyperlink r:id="rId6">
        <w:r>
          <w:rPr>
            <w:rFonts w:ascii="Verdana" w:eastAsia="Verdana" w:hAnsi="Verdana" w:cs="Verdana"/>
            <w:i/>
            <w:color w:val="1155CC"/>
            <w:sz w:val="16"/>
            <w:szCs w:val="16"/>
            <w:u w:val="single"/>
          </w:rPr>
          <w:t>mne@uc3m.es</w:t>
        </w:r>
      </w:hyperlink>
    </w:p>
    <w:p w:rsidR="00F47D72" w:rsidRDefault="00F47D72">
      <w:pPr>
        <w:widowControl w:val="0"/>
        <w:pBdr>
          <w:top w:val="nil"/>
          <w:left w:val="nil"/>
          <w:bottom w:val="nil"/>
          <w:right w:val="nil"/>
          <w:between w:val="nil"/>
        </w:pBdr>
        <w:spacing w:line="240" w:lineRule="auto"/>
        <w:ind w:left="0" w:hanging="2"/>
        <w:jc w:val="both"/>
        <w:rPr>
          <w:rFonts w:ascii="Verdana" w:eastAsia="Verdana" w:hAnsi="Verdana" w:cs="Verdana"/>
          <w:i/>
          <w:sz w:val="16"/>
          <w:szCs w:val="16"/>
        </w:rPr>
      </w:pPr>
    </w:p>
    <w:p w:rsidR="00F47D72" w:rsidRDefault="005B0069">
      <w:pPr>
        <w:widowControl w:val="0"/>
        <w:pBdr>
          <w:top w:val="nil"/>
          <w:left w:val="nil"/>
          <w:bottom w:val="nil"/>
          <w:right w:val="nil"/>
          <w:between w:val="nil"/>
        </w:pBdr>
        <w:spacing w:line="240" w:lineRule="auto"/>
        <w:ind w:left="0" w:right="520" w:hanging="2"/>
        <w:rPr>
          <w:rFonts w:ascii="Verdana" w:eastAsia="Verdana" w:hAnsi="Verdana" w:cs="Verdana"/>
          <w:color w:val="000000"/>
          <w:sz w:val="26"/>
          <w:szCs w:val="26"/>
        </w:rPr>
      </w:pPr>
      <w:r>
        <w:rPr>
          <w:noProof/>
        </w:rPr>
        <w:drawing>
          <wp:anchor distT="0" distB="0" distL="114300" distR="114300" simplePos="0" relativeHeight="251658240" behindDoc="0" locked="0" layoutInCell="1" hidden="0" allowOverlap="1">
            <wp:simplePos x="0" y="0"/>
            <wp:positionH relativeFrom="column">
              <wp:posOffset>3978909</wp:posOffset>
            </wp:positionH>
            <wp:positionV relativeFrom="paragraph">
              <wp:posOffset>81280</wp:posOffset>
            </wp:positionV>
            <wp:extent cx="2434590" cy="64833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34590" cy="648335"/>
                    </a:xfrm>
                    <a:prstGeom prst="rect">
                      <a:avLst/>
                    </a:prstGeom>
                    <a:ln/>
                  </pic:spPr>
                </pic:pic>
              </a:graphicData>
            </a:graphic>
          </wp:anchor>
        </w:drawing>
      </w:r>
    </w:p>
    <w:p w:rsidR="00F47D72" w:rsidRDefault="005B0069">
      <w:pPr>
        <w:widowControl w:val="0"/>
        <w:pBdr>
          <w:top w:val="nil"/>
          <w:left w:val="nil"/>
          <w:bottom w:val="nil"/>
          <w:right w:val="nil"/>
          <w:between w:val="nil"/>
        </w:pBdr>
        <w:spacing w:line="240" w:lineRule="auto"/>
        <w:ind w:left="1" w:right="520" w:hanging="3"/>
        <w:rPr>
          <w:rFonts w:ascii="Verdana" w:eastAsia="Verdana" w:hAnsi="Verdana" w:cs="Verdana"/>
          <w:color w:val="000000"/>
          <w:sz w:val="26"/>
          <w:szCs w:val="26"/>
        </w:rPr>
      </w:pPr>
      <w:r>
        <w:rPr>
          <w:rFonts w:ascii="Verdana" w:eastAsia="Verdana" w:hAnsi="Verdana" w:cs="Verdana"/>
          <w:b/>
          <w:color w:val="000000"/>
          <w:sz w:val="26"/>
          <w:szCs w:val="26"/>
        </w:rPr>
        <w:t>NATIONAL CHENGCHI UNIVERSITY</w:t>
      </w:r>
    </w:p>
    <w:p w:rsidR="00F47D72" w:rsidRDefault="00F47D72">
      <w:pPr>
        <w:widowControl w:val="0"/>
        <w:pBdr>
          <w:top w:val="nil"/>
          <w:left w:val="nil"/>
          <w:bottom w:val="nil"/>
          <w:right w:val="nil"/>
          <w:between w:val="nil"/>
        </w:pBdr>
        <w:spacing w:line="240" w:lineRule="auto"/>
        <w:ind w:left="0" w:right="520" w:hanging="2"/>
        <w:rPr>
          <w:rFonts w:ascii="Verdana" w:eastAsia="Verdana" w:hAnsi="Verdana" w:cs="Verdana"/>
          <w:color w:val="000000"/>
          <w:sz w:val="16"/>
          <w:szCs w:val="16"/>
        </w:rPr>
      </w:pPr>
    </w:p>
    <w:p w:rsidR="00F47D72" w:rsidRDefault="005B0069">
      <w:pPr>
        <w:ind w:left="1" w:hanging="3"/>
        <w:rPr>
          <w:rFonts w:ascii="Arial" w:eastAsia="Arial" w:hAnsi="Arial" w:cs="Arial"/>
          <w:color w:val="CCCCCC"/>
          <w:sz w:val="17"/>
          <w:szCs w:val="17"/>
        </w:rPr>
      </w:pPr>
      <w:proofErr w:type="spellStart"/>
      <w:r>
        <w:rPr>
          <w:rFonts w:ascii="Verdana" w:eastAsia="Verdana" w:hAnsi="Verdana" w:cs="Verdana"/>
          <w:b/>
          <w:sz w:val="26"/>
          <w:szCs w:val="26"/>
        </w:rPr>
        <w:t>Taipei</w:t>
      </w:r>
      <w:proofErr w:type="spellEnd"/>
      <w:r>
        <w:rPr>
          <w:rFonts w:ascii="Verdana" w:eastAsia="Verdana" w:hAnsi="Verdana" w:cs="Verdana"/>
          <w:b/>
          <w:sz w:val="26"/>
          <w:szCs w:val="26"/>
        </w:rPr>
        <w:t>, Taiwán</w:t>
      </w:r>
      <w:r>
        <w:rPr>
          <w:rFonts w:ascii="Arial" w:eastAsia="Arial" w:hAnsi="Arial" w:cs="Arial"/>
          <w:color w:val="CCCCCC"/>
          <w:sz w:val="17"/>
          <w:szCs w:val="17"/>
        </w:rPr>
        <w:t xml:space="preserve"> </w:t>
      </w:r>
    </w:p>
    <w:p w:rsidR="00F47D72" w:rsidRDefault="00F47D72">
      <w:pPr>
        <w:ind w:left="0" w:hanging="2"/>
        <w:rPr>
          <w:rFonts w:ascii="Verdana" w:eastAsia="Verdana" w:hAnsi="Verdana" w:cs="Verdana"/>
          <w:sz w:val="20"/>
          <w:szCs w:val="20"/>
        </w:rPr>
      </w:pPr>
    </w:p>
    <w:p w:rsidR="00F47D72" w:rsidRDefault="005B0069">
      <w:pPr>
        <w:keepNext/>
        <w:pBdr>
          <w:top w:val="nil"/>
          <w:left w:val="nil"/>
          <w:bottom w:val="nil"/>
          <w:right w:val="nil"/>
          <w:between w:val="nil"/>
        </w:pBdr>
        <w:spacing w:line="240" w:lineRule="auto"/>
        <w:ind w:left="0" w:hanging="2"/>
        <w:jc w:val="right"/>
        <w:rPr>
          <w:rFonts w:ascii="Verdana" w:eastAsia="Verdana" w:hAnsi="Verdana" w:cs="Verdana"/>
          <w:i/>
          <w:color w:val="000000"/>
          <w:sz w:val="18"/>
          <w:szCs w:val="18"/>
        </w:rPr>
      </w:pPr>
      <w:r>
        <w:rPr>
          <w:rFonts w:ascii="Verdana" w:eastAsia="Verdana" w:hAnsi="Verdana" w:cs="Verdana"/>
          <w:i/>
          <w:color w:val="000000"/>
          <w:sz w:val="18"/>
          <w:szCs w:val="18"/>
        </w:rPr>
        <w:t xml:space="preserve">      Última actualización</w:t>
      </w:r>
      <w:r>
        <w:rPr>
          <w:rFonts w:ascii="Verdana" w:eastAsia="Verdana" w:hAnsi="Verdana" w:cs="Verdana"/>
          <w:i/>
          <w:sz w:val="18"/>
          <w:szCs w:val="18"/>
        </w:rPr>
        <w:t xml:space="preserve">: </w:t>
      </w:r>
      <w:proofErr w:type="gramStart"/>
      <w:r w:rsidR="0020278A">
        <w:rPr>
          <w:rFonts w:ascii="Verdana" w:eastAsia="Verdana" w:hAnsi="Verdana" w:cs="Verdana"/>
          <w:i/>
          <w:sz w:val="18"/>
          <w:szCs w:val="18"/>
        </w:rPr>
        <w:t>Abril</w:t>
      </w:r>
      <w:proofErr w:type="gramEnd"/>
      <w:r w:rsidR="0020278A">
        <w:rPr>
          <w:rFonts w:ascii="Verdana" w:eastAsia="Verdana" w:hAnsi="Verdana" w:cs="Verdana"/>
          <w:i/>
          <w:sz w:val="18"/>
          <w:szCs w:val="18"/>
        </w:rPr>
        <w:t xml:space="preserve"> 2023</w:t>
      </w:r>
    </w:p>
    <w:tbl>
      <w:tblPr>
        <w:tblStyle w:val="a"/>
        <w:tblW w:w="10187" w:type="dxa"/>
        <w:tblInd w:w="0"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2500"/>
        <w:gridCol w:w="7687"/>
      </w:tblGrid>
      <w:tr w:rsidR="00F47D72">
        <w:trPr>
          <w:trHeight w:val="1581"/>
        </w:trPr>
        <w:tc>
          <w:tcPr>
            <w:tcW w:w="2500" w:type="dxa"/>
            <w:tcBorders>
              <w:bottom w:val="single" w:sz="4" w:space="0" w:color="000000"/>
            </w:tcBorders>
          </w:tcPr>
          <w:p w:rsidR="00F47D72" w:rsidRDefault="005B0069">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RESUMEN</w:t>
            </w:r>
          </w:p>
        </w:tc>
        <w:tc>
          <w:tcPr>
            <w:tcW w:w="7687" w:type="dxa"/>
            <w:tcBorders>
              <w:bottom w:val="single" w:sz="4" w:space="0" w:color="000000"/>
            </w:tcBorders>
          </w:tcPr>
          <w:p w:rsidR="00F47D72" w:rsidRDefault="005B0069">
            <w:pPr>
              <w:spacing w:before="120" w:after="120"/>
              <w:ind w:left="0" w:hanging="2"/>
              <w:jc w:val="both"/>
              <w:rPr>
                <w:rFonts w:ascii="Verdana" w:eastAsia="Verdana" w:hAnsi="Verdana" w:cs="Verdana"/>
                <w:sz w:val="20"/>
                <w:szCs w:val="20"/>
              </w:rPr>
            </w:pPr>
            <w:r>
              <w:rPr>
                <w:rFonts w:ascii="Verdana" w:eastAsia="Verdana" w:hAnsi="Verdana" w:cs="Verdana"/>
                <w:sz w:val="20"/>
                <w:szCs w:val="20"/>
              </w:rPr>
              <w:t>Situada en la ciudad de Taipéi (Taiwán), al pie de la montaña Chi-</w:t>
            </w:r>
            <w:proofErr w:type="spellStart"/>
            <w:r>
              <w:rPr>
                <w:rFonts w:ascii="Verdana" w:eastAsia="Verdana" w:hAnsi="Verdana" w:cs="Verdana"/>
                <w:sz w:val="20"/>
                <w:szCs w:val="20"/>
              </w:rPr>
              <w:t>nan</w:t>
            </w:r>
            <w:proofErr w:type="spellEnd"/>
            <w:r>
              <w:rPr>
                <w:rFonts w:ascii="Verdana" w:eastAsia="Verdana" w:hAnsi="Verdana" w:cs="Verdana"/>
                <w:sz w:val="20"/>
                <w:szCs w:val="20"/>
              </w:rPr>
              <w:t xml:space="preserve">, NCCU se crea en 1927 en Nanjing y por motivos históricos se desplaza a </w:t>
            </w:r>
            <w:proofErr w:type="spellStart"/>
            <w:r>
              <w:rPr>
                <w:rFonts w:ascii="Verdana" w:eastAsia="Verdana" w:hAnsi="Verdana" w:cs="Verdana"/>
                <w:sz w:val="20"/>
                <w:szCs w:val="20"/>
              </w:rPr>
              <w:t>Taipei</w:t>
            </w:r>
            <w:proofErr w:type="spellEnd"/>
            <w:r>
              <w:rPr>
                <w:rFonts w:ascii="Verdana" w:eastAsia="Verdana" w:hAnsi="Verdana" w:cs="Verdana"/>
                <w:sz w:val="20"/>
                <w:szCs w:val="20"/>
              </w:rPr>
              <w:t>. Con más de 15.000 estudiantes, es conocida por enfocarse en las ciencias sociales, comercio y comunicación</w:t>
            </w:r>
            <w:r>
              <w:rPr>
                <w:rFonts w:ascii="Verdana" w:eastAsia="Verdana" w:hAnsi="Verdana" w:cs="Verdana"/>
                <w:sz w:val="20"/>
                <w:szCs w:val="20"/>
              </w:rPr>
              <w:t xml:space="preserve">. El gobierno taiwanés la considera la universidad de Taiwán con la mejor oferta impartida en inglés. </w:t>
            </w:r>
          </w:p>
        </w:tc>
      </w:tr>
      <w:tr w:rsidR="00F47D72">
        <w:trPr>
          <w:trHeight w:val="467"/>
        </w:trPr>
        <w:tc>
          <w:tcPr>
            <w:tcW w:w="2500" w:type="dxa"/>
            <w:tcBorders>
              <w:bottom w:val="single" w:sz="4" w:space="0" w:color="000000"/>
            </w:tcBorders>
          </w:tcPr>
          <w:p w:rsidR="00F47D72" w:rsidRDefault="005B0069">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WEB</w:t>
            </w:r>
          </w:p>
        </w:tc>
        <w:tc>
          <w:tcPr>
            <w:tcW w:w="7687" w:type="dxa"/>
            <w:tcBorders>
              <w:bottom w:val="single" w:sz="4" w:space="0" w:color="000000"/>
            </w:tcBorders>
          </w:tcPr>
          <w:p w:rsidR="00F47D72" w:rsidRDefault="005B0069">
            <w:pPr>
              <w:spacing w:before="120" w:after="120"/>
              <w:ind w:left="0" w:hanging="2"/>
              <w:jc w:val="both"/>
              <w:rPr>
                <w:rFonts w:ascii="Verdana" w:eastAsia="Verdana" w:hAnsi="Verdana" w:cs="Verdana"/>
                <w:sz w:val="20"/>
                <w:szCs w:val="20"/>
              </w:rPr>
            </w:pPr>
            <w:hyperlink r:id="rId8">
              <w:r>
                <w:rPr>
                  <w:color w:val="0000FF"/>
                  <w:u w:val="single"/>
                </w:rPr>
                <w:t>https://www.nccu.edu.tw/</w:t>
              </w:r>
              <w:r>
                <w:rPr>
                  <w:color w:val="0000FF"/>
                  <w:u w:val="single"/>
                </w:rPr>
                <w:t>a</w:t>
              </w:r>
              <w:r>
                <w:rPr>
                  <w:color w:val="0000FF"/>
                  <w:u w:val="single"/>
                </w:rPr>
                <w:t>pp/home.php</w:t>
              </w:r>
            </w:hyperlink>
          </w:p>
        </w:tc>
      </w:tr>
      <w:tr w:rsidR="00F47D72">
        <w:trPr>
          <w:trHeight w:val="663"/>
        </w:trPr>
        <w:tc>
          <w:tcPr>
            <w:tcW w:w="2500" w:type="dxa"/>
            <w:tcBorders>
              <w:bottom w:val="nil"/>
            </w:tcBorders>
          </w:tcPr>
          <w:p w:rsidR="00F47D72" w:rsidRDefault="005B0069">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INFORMACIÓN PARA ALUMNOS INTERNACIONALES</w:t>
            </w:r>
          </w:p>
        </w:tc>
        <w:tc>
          <w:tcPr>
            <w:tcW w:w="7687" w:type="dxa"/>
            <w:tcBorders>
              <w:bottom w:val="nil"/>
            </w:tcBorders>
          </w:tcPr>
          <w:p w:rsidR="00F47D72" w:rsidRDefault="005B0069">
            <w:pPr>
              <w:spacing w:before="120" w:after="120"/>
              <w:ind w:left="0" w:hanging="2"/>
              <w:jc w:val="both"/>
              <w:rPr>
                <w:rFonts w:ascii="Verdana" w:eastAsia="Verdana" w:hAnsi="Verdana" w:cs="Verdana"/>
                <w:color w:val="0000FF"/>
                <w:sz w:val="20"/>
                <w:szCs w:val="20"/>
                <w:u w:val="single"/>
              </w:rPr>
            </w:pPr>
            <w:hyperlink r:id="rId9">
              <w:r>
                <w:rPr>
                  <w:color w:val="0000FF"/>
                  <w:u w:val="single"/>
                </w:rPr>
                <w:t>https://www.nccu.ed</w:t>
              </w:r>
              <w:r>
                <w:rPr>
                  <w:color w:val="0000FF"/>
                  <w:u w:val="single"/>
                </w:rPr>
                <w:t>u</w:t>
              </w:r>
              <w:r>
                <w:rPr>
                  <w:color w:val="0000FF"/>
                  <w:u w:val="single"/>
                </w:rPr>
                <w:t>.tw/p/426-1000-35.php?Lang=en</w:t>
              </w:r>
            </w:hyperlink>
            <w:r>
              <w:t xml:space="preserve"> </w:t>
            </w:r>
          </w:p>
        </w:tc>
      </w:tr>
      <w:tr w:rsidR="00F47D72">
        <w:trPr>
          <w:trHeight w:val="1021"/>
        </w:trPr>
        <w:tc>
          <w:tcPr>
            <w:tcW w:w="2500" w:type="dxa"/>
            <w:tcBorders>
              <w:bottom w:val="nil"/>
            </w:tcBorders>
          </w:tcPr>
          <w:p w:rsidR="00F47D72" w:rsidRDefault="005B0069">
            <w:pPr>
              <w:widowControl w:val="0"/>
              <w:pBdr>
                <w:top w:val="nil"/>
                <w:left w:val="nil"/>
                <w:bottom w:val="nil"/>
                <w:right w:val="nil"/>
                <w:between w:val="nil"/>
              </w:pBdr>
              <w:spacing w:before="120" w:after="120" w:line="240" w:lineRule="auto"/>
              <w:ind w:left="0" w:hanging="2"/>
              <w:rPr>
                <w:rFonts w:ascii="Verdana" w:eastAsia="Verdana" w:hAnsi="Verdana" w:cs="Verdana"/>
                <w:color w:val="000080"/>
                <w:sz w:val="20"/>
                <w:szCs w:val="20"/>
              </w:rPr>
            </w:pPr>
            <w:r>
              <w:rPr>
                <w:rFonts w:ascii="Verdana" w:eastAsia="Verdana" w:hAnsi="Verdana" w:cs="Verdana"/>
                <w:b/>
                <w:color w:val="000080"/>
                <w:sz w:val="20"/>
                <w:szCs w:val="20"/>
              </w:rPr>
              <w:t>ÁREAS CON CONVENIO</w:t>
            </w:r>
          </w:p>
        </w:tc>
        <w:tc>
          <w:tcPr>
            <w:tcW w:w="7687" w:type="dxa"/>
            <w:tcBorders>
              <w:bottom w:val="nil"/>
            </w:tcBorders>
          </w:tcPr>
          <w:p w:rsidR="00F47D72" w:rsidRDefault="005B0069">
            <w:pPr>
              <w:ind w:left="0" w:hanging="2"/>
              <w:rPr>
                <w:rFonts w:ascii="Verdana" w:eastAsia="Verdana" w:hAnsi="Verdana" w:cs="Verdana"/>
                <w:sz w:val="20"/>
                <w:szCs w:val="20"/>
              </w:rPr>
            </w:pPr>
            <w:r>
              <w:rPr>
                <w:rFonts w:ascii="Verdana" w:eastAsia="Verdana" w:hAnsi="Verdana" w:cs="Verdana"/>
                <w:sz w:val="20"/>
                <w:szCs w:val="20"/>
              </w:rPr>
              <w:t xml:space="preserve">Consulta las bases de la Convocatoria MNE de cada año en la página de movilidad en tu </w:t>
            </w:r>
            <w:r>
              <w:rPr>
                <w:rFonts w:ascii="Verdana" w:eastAsia="Verdana" w:hAnsi="Verdana" w:cs="Verdana"/>
                <w:b/>
                <w:sz w:val="20"/>
                <w:szCs w:val="20"/>
              </w:rPr>
              <w:t>Secretaría Virtual</w:t>
            </w:r>
            <w:r>
              <w:rPr>
                <w:rFonts w:ascii="Verdana" w:eastAsia="Verdana" w:hAnsi="Verdana" w:cs="Verdana"/>
                <w:sz w:val="20"/>
                <w:szCs w:val="20"/>
              </w:rPr>
              <w:t>.</w:t>
            </w:r>
          </w:p>
        </w:tc>
      </w:tr>
      <w:tr w:rsidR="00F47D72">
        <w:trPr>
          <w:trHeight w:val="295"/>
        </w:trPr>
        <w:tc>
          <w:tcPr>
            <w:tcW w:w="2500" w:type="dxa"/>
            <w:tcBorders>
              <w:bottom w:val="nil"/>
            </w:tcBorders>
          </w:tcPr>
          <w:p w:rsidR="00F47D72" w:rsidRDefault="005B0069">
            <w:pPr>
              <w:widowControl w:val="0"/>
              <w:pBdr>
                <w:top w:val="nil"/>
                <w:left w:val="nil"/>
                <w:bottom w:val="nil"/>
                <w:right w:val="nil"/>
                <w:between w:val="nil"/>
              </w:pBdr>
              <w:spacing w:before="120" w:after="120" w:line="240" w:lineRule="auto"/>
              <w:ind w:left="0" w:hanging="2"/>
              <w:rPr>
                <w:rFonts w:ascii="Verdana" w:eastAsia="Verdana" w:hAnsi="Verdana" w:cs="Verdana"/>
                <w:color w:val="000080"/>
                <w:sz w:val="20"/>
                <w:szCs w:val="20"/>
              </w:rPr>
            </w:pPr>
            <w:r>
              <w:rPr>
                <w:rFonts w:ascii="Verdana" w:eastAsia="Verdana" w:hAnsi="Verdana" w:cs="Verdana"/>
                <w:b/>
                <w:color w:val="000080"/>
                <w:sz w:val="20"/>
                <w:szCs w:val="20"/>
              </w:rPr>
              <w:t>COORDINADORES ACADÉMICOS</w:t>
            </w:r>
          </w:p>
        </w:tc>
        <w:tc>
          <w:tcPr>
            <w:tcW w:w="7687" w:type="dxa"/>
            <w:tcBorders>
              <w:bottom w:val="nil"/>
            </w:tcBorders>
          </w:tcPr>
          <w:p w:rsidR="00F47D72" w:rsidRDefault="005B0069">
            <w:pPr>
              <w:ind w:left="0" w:hanging="2"/>
              <w:rPr>
                <w:rFonts w:ascii="Verdana" w:eastAsia="Verdana" w:hAnsi="Verdana" w:cs="Verdana"/>
                <w:sz w:val="20"/>
                <w:szCs w:val="20"/>
              </w:rPr>
            </w:pPr>
            <w:r>
              <w:rPr>
                <w:rFonts w:ascii="Verdana" w:eastAsia="Verdana" w:hAnsi="Verdana" w:cs="Verdana"/>
                <w:sz w:val="20"/>
                <w:szCs w:val="20"/>
              </w:rPr>
              <w:t xml:space="preserve">Consulta las bases de la Convocatoria MNE de cada año en la página de movilidad en tu </w:t>
            </w:r>
            <w:r>
              <w:rPr>
                <w:rFonts w:ascii="Verdana" w:eastAsia="Verdana" w:hAnsi="Verdana" w:cs="Verdana"/>
                <w:b/>
                <w:sz w:val="20"/>
                <w:szCs w:val="20"/>
              </w:rPr>
              <w:t>Secretaría Virtual</w:t>
            </w:r>
            <w:r>
              <w:rPr>
                <w:rFonts w:ascii="Verdana" w:eastAsia="Verdana" w:hAnsi="Verdana" w:cs="Verdana"/>
                <w:sz w:val="20"/>
                <w:szCs w:val="20"/>
              </w:rPr>
              <w:t>.</w:t>
            </w:r>
          </w:p>
        </w:tc>
      </w:tr>
      <w:tr w:rsidR="00F47D72">
        <w:trPr>
          <w:trHeight w:val="690"/>
        </w:trPr>
        <w:tc>
          <w:tcPr>
            <w:tcW w:w="2500" w:type="dxa"/>
          </w:tcPr>
          <w:p w:rsidR="00F47D72" w:rsidRDefault="005B0069">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IDIOMA DE LOS CURSOS</w:t>
            </w:r>
          </w:p>
        </w:tc>
        <w:tc>
          <w:tcPr>
            <w:tcW w:w="7687" w:type="dxa"/>
          </w:tcPr>
          <w:p w:rsidR="00F47D72" w:rsidRDefault="005B0069">
            <w:pPr>
              <w:spacing w:before="120" w:after="120"/>
              <w:ind w:left="0" w:hanging="2"/>
              <w:jc w:val="both"/>
              <w:rPr>
                <w:rFonts w:ascii="Verdana" w:eastAsia="Verdana" w:hAnsi="Verdana" w:cs="Verdana"/>
                <w:sz w:val="20"/>
                <w:szCs w:val="20"/>
              </w:rPr>
            </w:pPr>
            <w:r>
              <w:rPr>
                <w:rFonts w:ascii="Verdana" w:eastAsia="Verdana" w:hAnsi="Verdana" w:cs="Verdana"/>
                <w:b/>
                <w:sz w:val="20"/>
                <w:szCs w:val="20"/>
              </w:rPr>
              <w:t>Inglés.</w:t>
            </w:r>
          </w:p>
          <w:p w:rsidR="00F47D72" w:rsidRDefault="005B0069">
            <w:pPr>
              <w:ind w:left="0" w:hanging="2"/>
              <w:rPr>
                <w:rFonts w:ascii="Verdana" w:eastAsia="Verdana" w:hAnsi="Verdana" w:cs="Verdana"/>
                <w:sz w:val="20"/>
                <w:szCs w:val="20"/>
              </w:rPr>
            </w:pPr>
            <w:r>
              <w:rPr>
                <w:rFonts w:ascii="Verdana" w:eastAsia="Verdana" w:hAnsi="Verdana" w:cs="Verdana"/>
                <w:sz w:val="20"/>
                <w:szCs w:val="20"/>
              </w:rPr>
              <w:t xml:space="preserve">Consulta las bases de la Convocatoria MNE de cada año en la página de movilidad en tu </w:t>
            </w:r>
            <w:r>
              <w:rPr>
                <w:rFonts w:ascii="Verdana" w:eastAsia="Verdana" w:hAnsi="Verdana" w:cs="Verdana"/>
                <w:b/>
                <w:sz w:val="20"/>
                <w:szCs w:val="20"/>
              </w:rPr>
              <w:t>Secretarí</w:t>
            </w:r>
            <w:r>
              <w:rPr>
                <w:rFonts w:ascii="Verdana" w:eastAsia="Verdana" w:hAnsi="Verdana" w:cs="Verdana"/>
                <w:b/>
                <w:sz w:val="20"/>
                <w:szCs w:val="20"/>
              </w:rPr>
              <w:t>a Virtual</w:t>
            </w:r>
            <w:r>
              <w:rPr>
                <w:rFonts w:ascii="Verdana" w:eastAsia="Verdana" w:hAnsi="Verdana" w:cs="Verdana"/>
                <w:sz w:val="20"/>
                <w:szCs w:val="20"/>
              </w:rPr>
              <w:t>.</w:t>
            </w:r>
          </w:p>
          <w:p w:rsidR="00F47D72" w:rsidRDefault="00F47D72">
            <w:pPr>
              <w:ind w:left="0" w:hanging="2"/>
              <w:rPr>
                <w:rFonts w:ascii="Verdana" w:eastAsia="Verdana" w:hAnsi="Verdana" w:cs="Verdana"/>
                <w:sz w:val="20"/>
                <w:szCs w:val="20"/>
              </w:rPr>
            </w:pPr>
          </w:p>
        </w:tc>
      </w:tr>
      <w:tr w:rsidR="00F47D72">
        <w:trPr>
          <w:trHeight w:val="3048"/>
        </w:trPr>
        <w:tc>
          <w:tcPr>
            <w:tcW w:w="2500" w:type="dxa"/>
            <w:tcBorders>
              <w:top w:val="single" w:sz="4" w:space="0" w:color="000000"/>
              <w:left w:val="nil"/>
              <w:bottom w:val="single" w:sz="4" w:space="0" w:color="000000"/>
              <w:right w:val="nil"/>
            </w:tcBorders>
          </w:tcPr>
          <w:p w:rsidR="00F47D72" w:rsidRDefault="005B0069">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DEADLINES</w:t>
            </w:r>
          </w:p>
        </w:tc>
        <w:tc>
          <w:tcPr>
            <w:tcW w:w="7687" w:type="dxa"/>
            <w:tcBorders>
              <w:top w:val="single" w:sz="4" w:space="0" w:color="000000"/>
              <w:left w:val="nil"/>
              <w:bottom w:val="single" w:sz="4" w:space="0" w:color="000000"/>
              <w:right w:val="nil"/>
            </w:tcBorders>
          </w:tcPr>
          <w:p w:rsidR="00F47D72" w:rsidRDefault="005B0069">
            <w:pPr>
              <w:spacing w:before="120" w:after="120"/>
              <w:ind w:left="0" w:hanging="2"/>
              <w:jc w:val="both"/>
              <w:rPr>
                <w:rFonts w:ascii="Verdana" w:eastAsia="Verdana" w:hAnsi="Verdana" w:cs="Verdana"/>
                <w:sz w:val="20"/>
                <w:szCs w:val="20"/>
              </w:rPr>
            </w:pPr>
            <w:r>
              <w:rPr>
                <w:rFonts w:ascii="Verdana" w:eastAsia="Verdana" w:hAnsi="Verdana" w:cs="Verdana"/>
                <w:sz w:val="20"/>
                <w:szCs w:val="20"/>
              </w:rPr>
              <w:t>El estudiante debe tener en cuenta que resulta de vital importancia respetar el proceso de admisión establecido por la universidad de destino para el envío de toda la documentación necesaria. Deberá realizar el registro online en la web de la universidad d</w:t>
            </w:r>
            <w:r>
              <w:rPr>
                <w:rFonts w:ascii="Verdana" w:eastAsia="Verdana" w:hAnsi="Verdana" w:cs="Verdana"/>
                <w:sz w:val="20"/>
                <w:szCs w:val="20"/>
              </w:rPr>
              <w:t>e destino en cuanto se abra el plazo, así como entregar toda la documentación requerida por el proceso en el SERINT para su envío conjunto por correo postal desde el SERINT (los plazos de entrega se comunicarán desde el SERINT).</w:t>
            </w:r>
          </w:p>
          <w:p w:rsidR="00F47D72" w:rsidRDefault="005B0069">
            <w:pPr>
              <w:spacing w:before="120" w:after="120"/>
              <w:ind w:left="0" w:hanging="2"/>
              <w:jc w:val="both"/>
              <w:rPr>
                <w:rFonts w:ascii="Verdana" w:eastAsia="Verdana" w:hAnsi="Verdana" w:cs="Verdana"/>
                <w:sz w:val="20"/>
                <w:szCs w:val="20"/>
              </w:rPr>
            </w:pPr>
            <w:r>
              <w:rPr>
                <w:rFonts w:ascii="Verdana" w:eastAsia="Verdana" w:hAnsi="Verdana" w:cs="Verdana"/>
                <w:sz w:val="20"/>
                <w:szCs w:val="20"/>
              </w:rPr>
              <w:t>Los estudiantes deben prepa</w:t>
            </w:r>
            <w:r>
              <w:rPr>
                <w:rFonts w:ascii="Verdana" w:eastAsia="Verdana" w:hAnsi="Verdana" w:cs="Verdana"/>
                <w:sz w:val="20"/>
                <w:szCs w:val="20"/>
              </w:rPr>
              <w:t xml:space="preserve">rar la documentación con antelación: </w:t>
            </w:r>
          </w:p>
          <w:bookmarkStart w:id="0" w:name="_heading=h.gjdgxs" w:colFirst="0" w:colLast="0"/>
          <w:bookmarkEnd w:id="0"/>
          <w:p w:rsidR="0020278A" w:rsidRDefault="0020278A">
            <w:pPr>
              <w:spacing w:before="120" w:after="120"/>
              <w:ind w:left="0" w:hanging="2"/>
              <w:jc w:val="both"/>
            </w:pPr>
            <w:r>
              <w:fldChar w:fldCharType="begin"/>
            </w:r>
            <w:r>
              <w:instrText xml:space="preserve"> HYPERLINK "</w:instrText>
            </w:r>
            <w:r w:rsidRPr="0020278A">
              <w:instrText>https://oic.nccu.edu.tw/Post/833</w:instrText>
            </w:r>
            <w:r>
              <w:instrText xml:space="preserve">" </w:instrText>
            </w:r>
            <w:r>
              <w:fldChar w:fldCharType="separate"/>
            </w:r>
            <w:r w:rsidRPr="00BE5B99">
              <w:rPr>
                <w:rStyle w:val="Hipervnculo"/>
              </w:rPr>
              <w:t>https://oic.nccu.edu.tw/Post/833</w:t>
            </w:r>
            <w:r>
              <w:fldChar w:fldCharType="end"/>
            </w:r>
          </w:p>
          <w:p w:rsidR="00F47D72" w:rsidRDefault="005B0069">
            <w:pPr>
              <w:spacing w:before="120" w:after="120"/>
              <w:ind w:left="0" w:hanging="2"/>
              <w:jc w:val="both"/>
              <w:rPr>
                <w:rFonts w:ascii="Verdana" w:eastAsia="Verdana" w:hAnsi="Verdana" w:cs="Verdana"/>
                <w:sz w:val="20"/>
                <w:szCs w:val="20"/>
              </w:rPr>
            </w:pPr>
            <w:proofErr w:type="spellStart"/>
            <w:r>
              <w:rPr>
                <w:rFonts w:ascii="Verdana" w:eastAsia="Verdana" w:hAnsi="Verdana" w:cs="Verdana"/>
                <w:b/>
                <w:sz w:val="20"/>
                <w:szCs w:val="20"/>
              </w:rPr>
              <w:t>Deadline</w:t>
            </w:r>
            <w:proofErr w:type="spellEnd"/>
            <w:r>
              <w:rPr>
                <w:rFonts w:ascii="Verdana" w:eastAsia="Verdana" w:hAnsi="Verdana" w:cs="Verdana"/>
                <w:b/>
                <w:sz w:val="20"/>
                <w:szCs w:val="20"/>
              </w:rPr>
              <w:t>:</w:t>
            </w:r>
            <w:r>
              <w:rPr>
                <w:rFonts w:ascii="Verdana" w:eastAsia="Verdana" w:hAnsi="Verdana" w:cs="Verdana"/>
                <w:sz w:val="20"/>
                <w:szCs w:val="20"/>
              </w:rPr>
              <w:t xml:space="preserve"> 7 de enero – 25 de marzo</w:t>
            </w:r>
          </w:p>
        </w:tc>
      </w:tr>
      <w:tr w:rsidR="00F47D72">
        <w:trPr>
          <w:trHeight w:val="1021"/>
        </w:trPr>
        <w:tc>
          <w:tcPr>
            <w:tcW w:w="2500" w:type="dxa"/>
          </w:tcPr>
          <w:p w:rsidR="00F47D72" w:rsidRDefault="005B0069">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CALENDARIO ACADÉMICO</w:t>
            </w:r>
          </w:p>
        </w:tc>
        <w:tc>
          <w:tcPr>
            <w:tcW w:w="7687" w:type="dxa"/>
          </w:tcPr>
          <w:p w:rsidR="00F47D72" w:rsidRDefault="005B0069">
            <w:pPr>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Pr>
                <w:rFonts w:ascii="Verdana" w:eastAsia="Verdana" w:hAnsi="Verdana" w:cs="Verdana"/>
                <w:b/>
                <w:color w:val="000000"/>
                <w:sz w:val="20"/>
                <w:szCs w:val="20"/>
                <w:u w:val="single"/>
              </w:rPr>
              <w:t>Primer semestre</w:t>
            </w:r>
            <w:r>
              <w:rPr>
                <w:rFonts w:ascii="Verdana" w:eastAsia="Verdana" w:hAnsi="Verdana" w:cs="Verdana"/>
                <w:b/>
                <w:color w:val="000000"/>
                <w:sz w:val="20"/>
                <w:szCs w:val="20"/>
              </w:rPr>
              <w:t xml:space="preserve">: </w:t>
            </w:r>
            <w:r>
              <w:rPr>
                <w:rFonts w:ascii="Verdana" w:eastAsia="Verdana" w:hAnsi="Verdana" w:cs="Verdana"/>
                <w:color w:val="000000"/>
                <w:sz w:val="20"/>
                <w:szCs w:val="20"/>
              </w:rPr>
              <w:t>septiembre – enero</w:t>
            </w:r>
          </w:p>
          <w:p w:rsidR="00F47D72" w:rsidRDefault="005B0069">
            <w:pPr>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Pr>
                <w:rFonts w:ascii="Verdana" w:eastAsia="Verdana" w:hAnsi="Verdana" w:cs="Verdana"/>
                <w:b/>
                <w:color w:val="000000"/>
                <w:sz w:val="20"/>
                <w:szCs w:val="20"/>
                <w:u w:val="single"/>
              </w:rPr>
              <w:t>Segundo semestre</w:t>
            </w:r>
            <w:r>
              <w:rPr>
                <w:rFonts w:ascii="Verdana" w:eastAsia="Verdana" w:hAnsi="Verdana" w:cs="Verdana"/>
                <w:b/>
                <w:color w:val="000000"/>
                <w:sz w:val="20"/>
                <w:szCs w:val="20"/>
              </w:rPr>
              <w:t xml:space="preserve">: </w:t>
            </w:r>
            <w:r>
              <w:rPr>
                <w:rFonts w:ascii="Verdana" w:eastAsia="Verdana" w:hAnsi="Verdana" w:cs="Verdana"/>
                <w:color w:val="000000"/>
                <w:sz w:val="20"/>
                <w:szCs w:val="20"/>
              </w:rPr>
              <w:t>febrero – finales de junio</w:t>
            </w:r>
          </w:p>
          <w:bookmarkStart w:id="1" w:name="_heading=h.30j0zll" w:colFirst="0" w:colLast="0"/>
          <w:bookmarkEnd w:id="1"/>
          <w:p w:rsidR="0020278A" w:rsidRDefault="0020278A" w:rsidP="0020278A">
            <w:pPr>
              <w:pBdr>
                <w:top w:val="nil"/>
                <w:left w:val="nil"/>
                <w:bottom w:val="nil"/>
                <w:right w:val="nil"/>
                <w:between w:val="nil"/>
              </w:pBdr>
              <w:spacing w:before="120" w:after="120" w:line="240" w:lineRule="auto"/>
              <w:ind w:leftChars="0" w:left="0" w:firstLineChars="0" w:firstLine="0"/>
              <w:jc w:val="both"/>
            </w:pPr>
            <w:r>
              <w:fldChar w:fldCharType="begin"/>
            </w:r>
            <w:r>
              <w:instrText xml:space="preserve"> HYPERLINK "</w:instrText>
            </w:r>
            <w:r w:rsidRPr="0020278A">
              <w:instrText>http://aca.nccu.edu.tw/eng/download/calendar2023_eng.pdf</w:instrText>
            </w:r>
            <w:r>
              <w:instrText xml:space="preserve">" </w:instrText>
            </w:r>
            <w:r>
              <w:fldChar w:fldCharType="separate"/>
            </w:r>
            <w:r w:rsidRPr="00BE5B99">
              <w:rPr>
                <w:rStyle w:val="Hipervnculo"/>
              </w:rPr>
              <w:t>http://aca.nccu.edu.tw/eng/download/calendar2023_eng.pdf</w:t>
            </w:r>
            <w:r>
              <w:fldChar w:fldCharType="end"/>
            </w:r>
          </w:p>
          <w:p w:rsidR="00F47D72" w:rsidRPr="0020278A" w:rsidRDefault="005B0069" w:rsidP="0020278A">
            <w:pPr>
              <w:pBdr>
                <w:top w:val="nil"/>
                <w:left w:val="nil"/>
                <w:bottom w:val="nil"/>
                <w:right w:val="nil"/>
                <w:between w:val="nil"/>
              </w:pBdr>
              <w:spacing w:before="120" w:after="120" w:line="240" w:lineRule="auto"/>
              <w:ind w:leftChars="0" w:left="0" w:firstLineChars="0" w:firstLine="0"/>
              <w:jc w:val="both"/>
            </w:pPr>
            <w:r>
              <w:rPr>
                <w:rFonts w:ascii="Verdana" w:eastAsia="Verdana" w:hAnsi="Verdana" w:cs="Verdana"/>
                <w:color w:val="000000"/>
                <w:sz w:val="20"/>
                <w:szCs w:val="20"/>
              </w:rPr>
              <w:t>Las fechas varían cada año. El estudiante debe confirmar la</w:t>
            </w:r>
            <w:r>
              <w:rPr>
                <w:rFonts w:ascii="Verdana" w:eastAsia="Verdana" w:hAnsi="Verdana" w:cs="Verdana"/>
                <w:color w:val="000000"/>
                <w:sz w:val="20"/>
                <w:szCs w:val="20"/>
              </w:rPr>
              <w:t xml:space="preserve"> fecha de llegada.</w:t>
            </w:r>
          </w:p>
        </w:tc>
      </w:tr>
      <w:tr w:rsidR="00F47D72">
        <w:trPr>
          <w:trHeight w:val="1021"/>
        </w:trPr>
        <w:tc>
          <w:tcPr>
            <w:tcW w:w="2500" w:type="dxa"/>
          </w:tcPr>
          <w:p w:rsidR="00F47D72" w:rsidRDefault="005B0069">
            <w:pPr>
              <w:widowControl w:val="0"/>
              <w:pBdr>
                <w:top w:val="nil"/>
                <w:left w:val="nil"/>
                <w:bottom w:val="nil"/>
                <w:right w:val="nil"/>
                <w:between w:val="nil"/>
              </w:pBdr>
              <w:spacing w:before="120" w:after="120" w:line="240" w:lineRule="auto"/>
              <w:ind w:left="0" w:hanging="2"/>
              <w:rPr>
                <w:rFonts w:ascii="Verdana" w:eastAsia="Verdana" w:hAnsi="Verdana" w:cs="Verdana"/>
                <w:color w:val="000080"/>
                <w:sz w:val="20"/>
                <w:szCs w:val="20"/>
              </w:rPr>
            </w:pPr>
            <w:r>
              <w:rPr>
                <w:rFonts w:ascii="Verdana" w:eastAsia="Verdana" w:hAnsi="Verdana" w:cs="Verdana"/>
                <w:b/>
                <w:color w:val="000080"/>
                <w:sz w:val="20"/>
                <w:szCs w:val="20"/>
              </w:rPr>
              <w:lastRenderedPageBreak/>
              <w:t>INFORMACIÓN ACADÉMICA</w:t>
            </w:r>
          </w:p>
        </w:tc>
        <w:tc>
          <w:tcPr>
            <w:tcW w:w="7687" w:type="dxa"/>
          </w:tcPr>
          <w:p w:rsidR="00F47D72" w:rsidRDefault="005B0069" w:rsidP="0020278A">
            <w:pPr>
              <w:widowControl w:val="0"/>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 xml:space="preserve">La oferta de asignaturas en inglés es limitada. Antes de solicitar la universidad se recomienda consultar la oferta de asignaturas impartidas en inglés a través del siguiente link y de la información disponible en la hoja informativa de la universidad.  </w:t>
            </w:r>
            <w:bookmarkStart w:id="2" w:name="_heading=h.1fob9te" w:colFirst="0" w:colLast="0"/>
            <w:bookmarkEnd w:id="2"/>
          </w:p>
          <w:p w:rsidR="00F47D72" w:rsidRDefault="005B0069">
            <w:pPr>
              <w:widowControl w:val="0"/>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Existen las siguientes opciones:</w:t>
            </w:r>
          </w:p>
          <w:p w:rsidR="00F47D72" w:rsidRDefault="005B0069">
            <w:pPr>
              <w:widowControl w:val="0"/>
              <w:numPr>
                <w:ilvl w:val="0"/>
                <w:numId w:val="1"/>
              </w:numPr>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Solo asignaturas académicas: hasta 15~18 créditos (5~6 asignaturas) por semestre.</w:t>
            </w:r>
          </w:p>
          <w:p w:rsidR="00F47D72" w:rsidRDefault="005B0069">
            <w:pPr>
              <w:widowControl w:val="0"/>
              <w:numPr>
                <w:ilvl w:val="0"/>
                <w:numId w:val="1"/>
              </w:numPr>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bookmarkStart w:id="3" w:name="_heading=h.3znysh7" w:colFirst="0" w:colLast="0"/>
            <w:bookmarkEnd w:id="3"/>
            <w:r>
              <w:rPr>
                <w:rFonts w:ascii="Verdana" w:eastAsia="Verdana" w:hAnsi="Verdana" w:cs="Verdana"/>
                <w:color w:val="000000"/>
                <w:sz w:val="20"/>
                <w:szCs w:val="20"/>
              </w:rPr>
              <w:t xml:space="preserve">Asignaturas académicas (3-5 asignaturas: 6-15 créditos) + Clases de chino </w:t>
            </w:r>
            <w:proofErr w:type="spellStart"/>
            <w:r>
              <w:rPr>
                <w:rFonts w:ascii="Verdana" w:eastAsia="Verdana" w:hAnsi="Verdana" w:cs="Verdana"/>
                <w:i/>
                <w:color w:val="000000"/>
                <w:sz w:val="20"/>
                <w:szCs w:val="20"/>
              </w:rPr>
              <w:t>Part</w:t>
            </w:r>
            <w:proofErr w:type="spellEnd"/>
            <w:r>
              <w:rPr>
                <w:rFonts w:ascii="Verdana" w:eastAsia="Verdana" w:hAnsi="Verdana" w:cs="Verdana"/>
                <w:i/>
                <w:color w:val="000000"/>
                <w:sz w:val="20"/>
                <w:szCs w:val="20"/>
              </w:rPr>
              <w:t xml:space="preserve">-Time </w:t>
            </w:r>
            <w:r>
              <w:rPr>
                <w:rFonts w:ascii="Verdana" w:eastAsia="Verdana" w:hAnsi="Verdana" w:cs="Verdana"/>
                <w:color w:val="000000"/>
                <w:sz w:val="20"/>
                <w:szCs w:val="20"/>
              </w:rPr>
              <w:t>tres horas de clase dos veces por semana durante 10 semanas.</w:t>
            </w:r>
          </w:p>
          <w:p w:rsidR="00F47D72" w:rsidRDefault="005B0069">
            <w:pPr>
              <w:widowControl w:val="0"/>
              <w:numPr>
                <w:ilvl w:val="0"/>
                <w:numId w:val="1"/>
              </w:numPr>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1 crédito en NCCU = 18 horas lectivas = 2 ECTS.</w:t>
            </w:r>
          </w:p>
          <w:p w:rsidR="00F47D72" w:rsidRDefault="005B0069">
            <w:pPr>
              <w:widowControl w:val="0"/>
              <w:pBdr>
                <w:top w:val="nil"/>
                <w:left w:val="nil"/>
                <w:bottom w:val="nil"/>
                <w:right w:val="nil"/>
                <w:between w:val="nil"/>
              </w:pBdr>
              <w:spacing w:before="120" w:after="120" w:line="240" w:lineRule="auto"/>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La asistencia a clase es obligatoria.</w:t>
            </w:r>
          </w:p>
        </w:tc>
      </w:tr>
      <w:tr w:rsidR="00F47D72">
        <w:trPr>
          <w:trHeight w:val="1021"/>
        </w:trPr>
        <w:tc>
          <w:tcPr>
            <w:tcW w:w="2500" w:type="dxa"/>
            <w:tcBorders>
              <w:bottom w:val="single" w:sz="4" w:space="0" w:color="000000"/>
            </w:tcBorders>
          </w:tcPr>
          <w:p w:rsidR="00F47D72" w:rsidRDefault="005B0069">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ALOJAMIENTO</w:t>
            </w:r>
          </w:p>
        </w:tc>
        <w:tc>
          <w:tcPr>
            <w:tcW w:w="7687" w:type="dxa"/>
            <w:tcBorders>
              <w:bottom w:val="single" w:sz="4" w:space="0" w:color="000000"/>
            </w:tcBorders>
          </w:tcPr>
          <w:p w:rsidR="00F47D72" w:rsidRDefault="005B0069">
            <w:pPr>
              <w:spacing w:before="120" w:after="120"/>
              <w:ind w:left="0" w:hanging="2"/>
              <w:rPr>
                <w:rFonts w:ascii="Verdana" w:eastAsia="Verdana" w:hAnsi="Verdana" w:cs="Verdana"/>
                <w:sz w:val="20"/>
                <w:szCs w:val="20"/>
              </w:rPr>
            </w:pPr>
            <w:r>
              <w:rPr>
                <w:rFonts w:ascii="Verdana" w:eastAsia="Verdana" w:hAnsi="Verdana" w:cs="Verdana"/>
                <w:sz w:val="20"/>
                <w:szCs w:val="20"/>
              </w:rPr>
              <w:t xml:space="preserve">Alojamiento dentro del campus </w:t>
            </w:r>
            <w:r>
              <w:rPr>
                <w:rFonts w:ascii="Verdana" w:eastAsia="Verdana" w:hAnsi="Verdana" w:cs="Verdana"/>
                <w:i/>
                <w:sz w:val="20"/>
                <w:szCs w:val="20"/>
              </w:rPr>
              <w:t>(</w:t>
            </w:r>
            <w:proofErr w:type="spellStart"/>
            <w:r>
              <w:rPr>
                <w:rFonts w:ascii="Verdana" w:eastAsia="Verdana" w:hAnsi="Verdana" w:cs="Verdana"/>
                <w:i/>
                <w:sz w:val="20"/>
                <w:szCs w:val="20"/>
              </w:rPr>
              <w:t>On</w:t>
            </w:r>
            <w:proofErr w:type="spellEnd"/>
            <w:r>
              <w:rPr>
                <w:rFonts w:ascii="Verdana" w:eastAsia="Verdana" w:hAnsi="Verdana" w:cs="Verdana"/>
                <w:i/>
                <w:sz w:val="20"/>
                <w:szCs w:val="20"/>
              </w:rPr>
              <w:t>-campus housing</w:t>
            </w:r>
            <w:r>
              <w:rPr>
                <w:rFonts w:ascii="Verdana" w:eastAsia="Verdana" w:hAnsi="Verdana" w:cs="Verdana"/>
                <w:sz w:val="20"/>
                <w:szCs w:val="20"/>
              </w:rPr>
              <w:t xml:space="preserve">): </w:t>
            </w:r>
          </w:p>
          <w:p w:rsidR="00F47D72" w:rsidRDefault="005B0069" w:rsidP="0020278A">
            <w:pPr>
              <w:spacing w:before="120" w:after="120"/>
              <w:ind w:left="0" w:hanging="2"/>
              <w:rPr>
                <w:rFonts w:ascii="Verdana" w:eastAsia="Verdana" w:hAnsi="Verdana" w:cs="Verdana"/>
                <w:sz w:val="20"/>
                <w:szCs w:val="20"/>
              </w:rPr>
            </w:pPr>
            <w:r>
              <w:rPr>
                <w:rFonts w:ascii="Verdana" w:eastAsia="Verdana" w:hAnsi="Verdana" w:cs="Verdana"/>
                <w:sz w:val="20"/>
                <w:szCs w:val="20"/>
              </w:rPr>
              <w:t xml:space="preserve">NT$8,000 (alrededor de 200 €) /semestre, 4 personas por cuarto. </w:t>
            </w:r>
            <w:bookmarkStart w:id="4" w:name="_heading=h.2et92p0" w:colFirst="0" w:colLast="0"/>
            <w:bookmarkEnd w:id="4"/>
          </w:p>
          <w:p w:rsidR="00F47D72" w:rsidRDefault="005B0069">
            <w:pPr>
              <w:spacing w:before="120" w:after="120"/>
              <w:ind w:left="0" w:hanging="2"/>
              <w:jc w:val="both"/>
              <w:rPr>
                <w:rFonts w:ascii="Verdana" w:eastAsia="Verdana" w:hAnsi="Verdana" w:cs="Verdana"/>
                <w:sz w:val="20"/>
                <w:szCs w:val="20"/>
              </w:rPr>
            </w:pPr>
            <w:r>
              <w:rPr>
                <w:rFonts w:ascii="Verdana" w:eastAsia="Verdana" w:hAnsi="Verdana" w:cs="Verdana"/>
                <w:i/>
                <w:sz w:val="20"/>
                <w:szCs w:val="20"/>
              </w:rPr>
              <w:t>Off-campus International House</w:t>
            </w:r>
            <w:r>
              <w:rPr>
                <w:rFonts w:ascii="Verdana" w:eastAsia="Verdana" w:hAnsi="Verdana" w:cs="Verdana"/>
                <w:sz w:val="20"/>
                <w:szCs w:val="20"/>
              </w:rPr>
              <w:t xml:space="preserve"> (espacio limitado):</w:t>
            </w:r>
          </w:p>
          <w:p w:rsidR="00F47D72" w:rsidRDefault="005B0069">
            <w:pPr>
              <w:spacing w:before="120" w:after="120"/>
              <w:ind w:left="0" w:hanging="2"/>
              <w:jc w:val="both"/>
              <w:rPr>
                <w:rFonts w:ascii="Verdana" w:eastAsia="Verdana" w:hAnsi="Verdana" w:cs="Verdana"/>
                <w:sz w:val="20"/>
                <w:szCs w:val="20"/>
              </w:rPr>
            </w:pPr>
            <w:r>
              <w:rPr>
                <w:rFonts w:ascii="Verdana" w:eastAsia="Verdana" w:hAnsi="Verdana" w:cs="Verdana"/>
                <w:sz w:val="20"/>
                <w:szCs w:val="20"/>
              </w:rPr>
              <w:t xml:space="preserve">NT$12,000 (alrededor de 300 </w:t>
            </w:r>
            <w:proofErr w:type="gramStart"/>
            <w:r>
              <w:rPr>
                <w:rFonts w:ascii="Verdana" w:eastAsia="Verdana" w:hAnsi="Verdana" w:cs="Verdana"/>
                <w:sz w:val="20"/>
                <w:szCs w:val="20"/>
              </w:rPr>
              <w:t>€)/</w:t>
            </w:r>
            <w:proofErr w:type="gramEnd"/>
            <w:r>
              <w:rPr>
                <w:rFonts w:ascii="Verdana" w:eastAsia="Verdana" w:hAnsi="Verdana" w:cs="Verdana"/>
                <w:sz w:val="20"/>
                <w:szCs w:val="20"/>
              </w:rPr>
              <w:t xml:space="preserve">mes la habitación individual. </w:t>
            </w:r>
          </w:p>
          <w:p w:rsidR="00F47D72" w:rsidRDefault="005B0069">
            <w:pPr>
              <w:spacing w:before="120" w:after="120"/>
              <w:ind w:left="0" w:hanging="2"/>
              <w:jc w:val="both"/>
              <w:rPr>
                <w:rFonts w:ascii="Verdana" w:eastAsia="Verdana" w:hAnsi="Verdana" w:cs="Verdana"/>
                <w:sz w:val="20"/>
                <w:szCs w:val="20"/>
              </w:rPr>
            </w:pPr>
            <w:r>
              <w:rPr>
                <w:rFonts w:ascii="Verdana" w:eastAsia="Verdana" w:hAnsi="Verdana" w:cs="Verdana"/>
                <w:sz w:val="20"/>
                <w:szCs w:val="20"/>
              </w:rPr>
              <w:t xml:space="preserve">NT$16,000 (alrededor de 400 </w:t>
            </w:r>
            <w:proofErr w:type="gramStart"/>
            <w:r>
              <w:rPr>
                <w:rFonts w:ascii="Verdana" w:eastAsia="Verdana" w:hAnsi="Verdana" w:cs="Verdana"/>
                <w:sz w:val="20"/>
                <w:szCs w:val="20"/>
              </w:rPr>
              <w:t>€)/</w:t>
            </w:r>
            <w:proofErr w:type="gramEnd"/>
            <w:r>
              <w:rPr>
                <w:rFonts w:ascii="Verdana" w:eastAsia="Verdana" w:hAnsi="Verdana" w:cs="Verdana"/>
                <w:sz w:val="20"/>
                <w:szCs w:val="20"/>
              </w:rPr>
              <w:t>mes la habitación dob</w:t>
            </w:r>
            <w:r>
              <w:rPr>
                <w:rFonts w:ascii="Verdana" w:eastAsia="Verdana" w:hAnsi="Verdana" w:cs="Verdana"/>
                <w:sz w:val="20"/>
                <w:szCs w:val="20"/>
              </w:rPr>
              <w:t>le.</w:t>
            </w:r>
          </w:p>
          <w:bookmarkStart w:id="5" w:name="_heading=h.tyjcwt" w:colFirst="0" w:colLast="0"/>
          <w:bookmarkEnd w:id="5"/>
          <w:p w:rsidR="00F47D72" w:rsidRDefault="0020278A" w:rsidP="0020278A">
            <w:pPr>
              <w:widowControl w:val="0"/>
              <w:pBdr>
                <w:top w:val="nil"/>
                <w:left w:val="nil"/>
                <w:bottom w:val="nil"/>
                <w:right w:val="nil"/>
                <w:between w:val="nil"/>
              </w:pBdr>
              <w:spacing w:before="120" w:after="120" w:line="240" w:lineRule="auto"/>
              <w:ind w:leftChars="0" w:left="0" w:firstLineChars="0" w:firstLine="0"/>
              <w:jc w:val="both"/>
              <w:rPr>
                <w:rFonts w:ascii="Verdana" w:eastAsia="Verdana" w:hAnsi="Verdana" w:cs="Verdana"/>
                <w:color w:val="0000FF"/>
                <w:sz w:val="20"/>
                <w:szCs w:val="20"/>
                <w:u w:val="single"/>
              </w:rPr>
            </w:pPr>
            <w:r>
              <w:rPr>
                <w:rFonts w:ascii="Verdana" w:eastAsia="Verdana" w:hAnsi="Verdana" w:cs="Verdana"/>
                <w:color w:val="0000FF"/>
                <w:sz w:val="20"/>
                <w:szCs w:val="20"/>
                <w:u w:val="single"/>
              </w:rPr>
              <w:fldChar w:fldCharType="begin"/>
            </w:r>
            <w:r>
              <w:rPr>
                <w:rFonts w:ascii="Verdana" w:eastAsia="Verdana" w:hAnsi="Verdana" w:cs="Verdana"/>
                <w:color w:val="0000FF"/>
                <w:sz w:val="20"/>
                <w:szCs w:val="20"/>
                <w:u w:val="single"/>
              </w:rPr>
              <w:instrText xml:space="preserve"> HYPERLINK "</w:instrText>
            </w:r>
            <w:r w:rsidRPr="0020278A">
              <w:rPr>
                <w:rFonts w:ascii="Verdana" w:eastAsia="Verdana" w:hAnsi="Verdana" w:cs="Verdana"/>
                <w:color w:val="0000FF"/>
                <w:sz w:val="20"/>
                <w:szCs w:val="20"/>
                <w:u w:val="single"/>
              </w:rPr>
              <w:instrText>https://oic.nccu.edu.tw/Post/433</w:instrText>
            </w:r>
            <w:r>
              <w:rPr>
                <w:rFonts w:ascii="Verdana" w:eastAsia="Verdana" w:hAnsi="Verdana" w:cs="Verdana"/>
                <w:color w:val="0000FF"/>
                <w:sz w:val="20"/>
                <w:szCs w:val="20"/>
                <w:u w:val="single"/>
              </w:rPr>
              <w:instrText xml:space="preserve">" </w:instrText>
            </w:r>
            <w:r>
              <w:rPr>
                <w:rFonts w:ascii="Verdana" w:eastAsia="Verdana" w:hAnsi="Verdana" w:cs="Verdana"/>
                <w:color w:val="0000FF"/>
                <w:sz w:val="20"/>
                <w:szCs w:val="20"/>
                <w:u w:val="single"/>
              </w:rPr>
              <w:fldChar w:fldCharType="separate"/>
            </w:r>
            <w:r w:rsidRPr="00BE5B99">
              <w:rPr>
                <w:rStyle w:val="Hipervnculo"/>
                <w:rFonts w:ascii="Verdana" w:eastAsia="Verdana" w:hAnsi="Verdana" w:cs="Verdana"/>
                <w:sz w:val="20"/>
                <w:szCs w:val="20"/>
              </w:rPr>
              <w:t>https://oic.nccu.edu.tw/Post/433</w:t>
            </w:r>
            <w:r>
              <w:rPr>
                <w:rFonts w:ascii="Verdana" w:eastAsia="Verdana" w:hAnsi="Verdana" w:cs="Verdana"/>
                <w:color w:val="0000FF"/>
                <w:sz w:val="20"/>
                <w:szCs w:val="20"/>
                <w:u w:val="single"/>
              </w:rPr>
              <w:fldChar w:fldCharType="end"/>
            </w:r>
          </w:p>
          <w:p w:rsidR="00F47D72" w:rsidRDefault="005B0069">
            <w:pPr>
              <w:spacing w:before="120" w:after="120"/>
              <w:ind w:left="0" w:hanging="2"/>
              <w:jc w:val="both"/>
              <w:rPr>
                <w:rFonts w:ascii="Verdana" w:eastAsia="Verdana" w:hAnsi="Verdana" w:cs="Verdana"/>
                <w:sz w:val="20"/>
                <w:szCs w:val="20"/>
              </w:rPr>
            </w:pPr>
            <w:r>
              <w:rPr>
                <w:rFonts w:ascii="Verdana" w:eastAsia="Verdana" w:hAnsi="Verdana" w:cs="Verdana"/>
                <w:sz w:val="20"/>
                <w:szCs w:val="20"/>
              </w:rPr>
              <w:t>Alojamiento fuera del campus</w:t>
            </w:r>
            <w:r>
              <w:rPr>
                <w:rFonts w:ascii="Verdana" w:eastAsia="Verdana" w:hAnsi="Verdana" w:cs="Verdana"/>
                <w:i/>
                <w:sz w:val="20"/>
                <w:szCs w:val="20"/>
              </w:rPr>
              <w:t xml:space="preserve"> (Off-campus housing)</w:t>
            </w:r>
          </w:p>
          <w:p w:rsidR="00F47D72" w:rsidRDefault="005B0069">
            <w:pPr>
              <w:spacing w:before="120" w:after="120"/>
              <w:ind w:left="0" w:hanging="2"/>
              <w:jc w:val="both"/>
              <w:rPr>
                <w:rFonts w:ascii="Verdana" w:eastAsia="Verdana" w:hAnsi="Verdana" w:cs="Verdana"/>
                <w:sz w:val="20"/>
                <w:szCs w:val="20"/>
              </w:rPr>
            </w:pPr>
            <w:r>
              <w:rPr>
                <w:rFonts w:ascii="Verdana" w:eastAsia="Verdana" w:hAnsi="Verdana" w:cs="Verdana"/>
                <w:sz w:val="20"/>
                <w:szCs w:val="20"/>
              </w:rPr>
              <w:t>El programa compañeros (</w:t>
            </w:r>
            <w:proofErr w:type="spellStart"/>
            <w:r>
              <w:rPr>
                <w:rFonts w:ascii="Verdana" w:eastAsia="Verdana" w:hAnsi="Verdana" w:cs="Verdana"/>
                <w:i/>
                <w:sz w:val="20"/>
                <w:szCs w:val="20"/>
              </w:rPr>
              <w:t>Buddy</w:t>
            </w:r>
            <w:proofErr w:type="spellEnd"/>
            <w:r>
              <w:rPr>
                <w:rFonts w:ascii="Verdana" w:eastAsia="Verdana" w:hAnsi="Verdana" w:cs="Verdana"/>
                <w:i/>
                <w:sz w:val="20"/>
                <w:szCs w:val="20"/>
              </w:rPr>
              <w:t xml:space="preserve"> </w:t>
            </w:r>
            <w:proofErr w:type="spellStart"/>
            <w:r>
              <w:rPr>
                <w:rFonts w:ascii="Verdana" w:eastAsia="Verdana" w:hAnsi="Verdana" w:cs="Verdana"/>
                <w:i/>
                <w:sz w:val="20"/>
                <w:szCs w:val="20"/>
              </w:rPr>
              <w:t>Program</w:t>
            </w:r>
            <w:proofErr w:type="spellEnd"/>
            <w:r>
              <w:rPr>
                <w:rFonts w:ascii="Verdana" w:eastAsia="Verdana" w:hAnsi="Verdana" w:cs="Verdana"/>
                <w:sz w:val="20"/>
                <w:szCs w:val="20"/>
              </w:rPr>
              <w:t>) facilitará el contacto con voluntarios que asistirán a estudiante en la búsqueda de alojamiento.</w:t>
            </w:r>
          </w:p>
        </w:tc>
      </w:tr>
      <w:tr w:rsidR="00F47D72">
        <w:trPr>
          <w:trHeight w:val="2384"/>
        </w:trPr>
        <w:tc>
          <w:tcPr>
            <w:tcW w:w="2500" w:type="dxa"/>
            <w:tcBorders>
              <w:top w:val="single" w:sz="4" w:space="0" w:color="000000"/>
              <w:bottom w:val="single" w:sz="4" w:space="0" w:color="000000"/>
              <w:right w:val="nil"/>
            </w:tcBorders>
          </w:tcPr>
          <w:p w:rsidR="00F47D72" w:rsidRDefault="005B0069">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SEGURO MÉDICO</w:t>
            </w:r>
          </w:p>
        </w:tc>
        <w:tc>
          <w:tcPr>
            <w:tcW w:w="7687" w:type="dxa"/>
            <w:tcBorders>
              <w:top w:val="single" w:sz="4" w:space="0" w:color="000000"/>
              <w:left w:val="nil"/>
              <w:bottom w:val="single" w:sz="4" w:space="0" w:color="000000"/>
            </w:tcBorders>
          </w:tcPr>
          <w:p w:rsidR="00F47D72" w:rsidRDefault="005B0069" w:rsidP="0020278A">
            <w:pPr>
              <w:spacing w:before="120" w:after="120"/>
              <w:ind w:left="0" w:hanging="2"/>
              <w:jc w:val="both"/>
              <w:rPr>
                <w:rFonts w:ascii="Verdana" w:eastAsia="Verdana" w:hAnsi="Verdana" w:cs="Verdana"/>
                <w:sz w:val="20"/>
                <w:szCs w:val="20"/>
              </w:rPr>
            </w:pPr>
            <w:r>
              <w:rPr>
                <w:rFonts w:ascii="Verdana" w:eastAsia="Verdana" w:hAnsi="Verdana" w:cs="Verdana"/>
                <w:sz w:val="20"/>
                <w:szCs w:val="20"/>
              </w:rPr>
              <w:t>Todo estudiante debe contratar un seguro médico. NCCU requiere que el estudiante en cualquier caso contrate un seguro médico por NT$147 (aprox. 4 €) por semestre. Si la estancia es de un semestre el estudiante debe contratar un seguro que cubra toda la est</w:t>
            </w:r>
            <w:r>
              <w:rPr>
                <w:rFonts w:ascii="Verdana" w:eastAsia="Verdana" w:hAnsi="Verdana" w:cs="Verdana"/>
                <w:sz w:val="20"/>
                <w:szCs w:val="20"/>
              </w:rPr>
              <w:t xml:space="preserve">ancia antes de viajar a destino. Si la estancia es de un año académico el estudiante deberá contratar un seguro médico antes de viajar para los primeros 4 meses por lo menos y luego se le requerirá contratar el </w:t>
            </w:r>
            <w:proofErr w:type="spellStart"/>
            <w:r>
              <w:rPr>
                <w:rFonts w:ascii="Verdana" w:eastAsia="Verdana" w:hAnsi="Verdana" w:cs="Verdana"/>
                <w:i/>
                <w:sz w:val="20"/>
                <w:szCs w:val="20"/>
              </w:rPr>
              <w:t>National</w:t>
            </w:r>
            <w:proofErr w:type="spellEnd"/>
            <w:r>
              <w:rPr>
                <w:rFonts w:ascii="Verdana" w:eastAsia="Verdana" w:hAnsi="Verdana" w:cs="Verdana"/>
                <w:i/>
                <w:sz w:val="20"/>
                <w:szCs w:val="20"/>
              </w:rPr>
              <w:t xml:space="preserve"> </w:t>
            </w:r>
            <w:proofErr w:type="spellStart"/>
            <w:r>
              <w:rPr>
                <w:rFonts w:ascii="Verdana" w:eastAsia="Verdana" w:hAnsi="Verdana" w:cs="Verdana"/>
                <w:i/>
                <w:sz w:val="20"/>
                <w:szCs w:val="20"/>
              </w:rPr>
              <w:t>Health</w:t>
            </w:r>
            <w:proofErr w:type="spellEnd"/>
            <w:r>
              <w:rPr>
                <w:rFonts w:ascii="Verdana" w:eastAsia="Verdana" w:hAnsi="Verdana" w:cs="Verdana"/>
                <w:i/>
                <w:sz w:val="20"/>
                <w:szCs w:val="20"/>
              </w:rPr>
              <w:t xml:space="preserve"> </w:t>
            </w:r>
            <w:proofErr w:type="spellStart"/>
            <w:r>
              <w:rPr>
                <w:rFonts w:ascii="Verdana" w:eastAsia="Verdana" w:hAnsi="Verdana" w:cs="Verdana"/>
                <w:i/>
                <w:sz w:val="20"/>
                <w:szCs w:val="20"/>
              </w:rPr>
              <w:t>Insurance</w:t>
            </w:r>
            <w:proofErr w:type="spellEnd"/>
            <w:r>
              <w:rPr>
                <w:rFonts w:ascii="Verdana" w:eastAsia="Verdana" w:hAnsi="Verdana" w:cs="Verdana"/>
                <w:sz w:val="20"/>
                <w:szCs w:val="20"/>
              </w:rPr>
              <w:t xml:space="preserve"> a partir del 5º mes</w:t>
            </w:r>
            <w:r>
              <w:rPr>
                <w:rFonts w:ascii="Verdana" w:eastAsia="Verdana" w:hAnsi="Verdana" w:cs="Verdana"/>
                <w:sz w:val="20"/>
                <w:szCs w:val="20"/>
              </w:rPr>
              <w:t xml:space="preserve"> (NT$749/mes = aprox. 20 € por mes). Se recomienda al estudiante contratar además de un seguro sanitario, un complemento por asistencia sanitaria en caso de viajar a terceros países, transporte en caso de enfermedad, y efectos personales.</w:t>
            </w:r>
          </w:p>
          <w:bookmarkStart w:id="6" w:name="_heading=h.3dy6vkm" w:colFirst="0" w:colLast="0"/>
          <w:bookmarkEnd w:id="6"/>
          <w:p w:rsidR="0020278A" w:rsidRDefault="0020278A" w:rsidP="0020278A">
            <w:pPr>
              <w:spacing w:before="120" w:after="120"/>
              <w:ind w:left="0" w:hanging="2"/>
              <w:jc w:val="both"/>
              <w:rPr>
                <w:rFonts w:ascii="Verdana" w:eastAsia="Verdana" w:hAnsi="Verdana" w:cs="Verdana"/>
                <w:sz w:val="20"/>
                <w:szCs w:val="20"/>
              </w:rPr>
            </w:pPr>
            <w:r>
              <w:rPr>
                <w:rFonts w:ascii="Verdana" w:eastAsia="Verdana" w:hAnsi="Verdana" w:cs="Verdana"/>
                <w:sz w:val="20"/>
                <w:szCs w:val="20"/>
              </w:rPr>
              <w:fldChar w:fldCharType="begin"/>
            </w:r>
            <w:r>
              <w:rPr>
                <w:rFonts w:ascii="Verdana" w:eastAsia="Verdana" w:hAnsi="Verdana" w:cs="Verdana"/>
                <w:sz w:val="20"/>
                <w:szCs w:val="20"/>
              </w:rPr>
              <w:instrText xml:space="preserve"> HYPERLINK "</w:instrText>
            </w:r>
            <w:r w:rsidRPr="0020278A">
              <w:rPr>
                <w:rFonts w:ascii="Verdana" w:eastAsia="Verdana" w:hAnsi="Verdana" w:cs="Verdana"/>
                <w:sz w:val="20"/>
                <w:szCs w:val="20"/>
              </w:rPr>
              <w:instrText>https://oic.nccu.edu.tw/Post/493</w:instrText>
            </w:r>
            <w:r>
              <w:rPr>
                <w:rFonts w:ascii="Verdana" w:eastAsia="Verdana" w:hAnsi="Verdana" w:cs="Verdana"/>
                <w:sz w:val="20"/>
                <w:szCs w:val="20"/>
              </w:rPr>
              <w:instrText xml:space="preserve">" </w:instrText>
            </w:r>
            <w:r>
              <w:rPr>
                <w:rFonts w:ascii="Verdana" w:eastAsia="Verdana" w:hAnsi="Verdana" w:cs="Verdana"/>
                <w:sz w:val="20"/>
                <w:szCs w:val="20"/>
              </w:rPr>
              <w:fldChar w:fldCharType="separate"/>
            </w:r>
            <w:r w:rsidRPr="00BE5B99">
              <w:rPr>
                <w:rStyle w:val="Hipervnculo"/>
                <w:rFonts w:ascii="Verdana" w:eastAsia="Verdana" w:hAnsi="Verdana" w:cs="Verdana"/>
                <w:sz w:val="20"/>
                <w:szCs w:val="20"/>
              </w:rPr>
              <w:t>https://oic.nccu.edu.tw/Post/493</w:t>
            </w:r>
            <w:r>
              <w:rPr>
                <w:rFonts w:ascii="Verdana" w:eastAsia="Verdana" w:hAnsi="Verdana" w:cs="Verdana"/>
                <w:sz w:val="20"/>
                <w:szCs w:val="20"/>
              </w:rPr>
              <w:fldChar w:fldCharType="end"/>
            </w:r>
          </w:p>
        </w:tc>
      </w:tr>
      <w:tr w:rsidR="00F47D72">
        <w:trPr>
          <w:trHeight w:val="645"/>
        </w:trPr>
        <w:tc>
          <w:tcPr>
            <w:tcW w:w="2500" w:type="dxa"/>
            <w:tcBorders>
              <w:top w:val="single" w:sz="4" w:space="0" w:color="000000"/>
              <w:bottom w:val="single" w:sz="4" w:space="0" w:color="000000"/>
              <w:right w:val="nil"/>
            </w:tcBorders>
          </w:tcPr>
          <w:p w:rsidR="00F47D72" w:rsidRDefault="005B0069">
            <w:pPr>
              <w:spacing w:before="120" w:after="120"/>
              <w:ind w:left="0" w:hanging="2"/>
              <w:rPr>
                <w:rFonts w:ascii="Verdana" w:eastAsia="Verdana" w:hAnsi="Verdana" w:cs="Verdana"/>
                <w:color w:val="000080"/>
                <w:sz w:val="20"/>
                <w:szCs w:val="20"/>
              </w:rPr>
            </w:pPr>
            <w:r>
              <w:rPr>
                <w:rFonts w:ascii="Verdana" w:eastAsia="Verdana" w:hAnsi="Verdana" w:cs="Verdana"/>
                <w:b/>
                <w:color w:val="000080"/>
                <w:sz w:val="20"/>
                <w:szCs w:val="20"/>
              </w:rPr>
              <w:t>RECOMENDACIONES DE VIAJE</w:t>
            </w:r>
          </w:p>
        </w:tc>
        <w:tc>
          <w:tcPr>
            <w:tcW w:w="7687" w:type="dxa"/>
            <w:tcBorders>
              <w:top w:val="single" w:sz="4" w:space="0" w:color="000000"/>
              <w:left w:val="nil"/>
              <w:bottom w:val="single" w:sz="4" w:space="0" w:color="000000"/>
            </w:tcBorders>
          </w:tcPr>
          <w:p w:rsidR="005B0069" w:rsidRDefault="005B0069">
            <w:pPr>
              <w:spacing w:before="120" w:after="120"/>
              <w:ind w:left="0" w:hanging="2"/>
              <w:jc w:val="both"/>
            </w:pPr>
            <w:bookmarkStart w:id="7" w:name="_heading=h.1t3h5sf" w:colFirst="0" w:colLast="0"/>
            <w:bookmarkEnd w:id="7"/>
            <w:r>
              <w:rPr>
                <w:rFonts w:ascii="Verdana" w:eastAsia="Verdana" w:hAnsi="Verdana" w:cs="Verdana"/>
                <w:sz w:val="20"/>
                <w:szCs w:val="20"/>
              </w:rPr>
              <w:t xml:space="preserve">Recomendamos encarecidamente a los estudiantes consultar las recomendaciones de viaje que ofrece el Ministerio de Asuntos Exteriores y Cooperación </w:t>
            </w:r>
            <w:hyperlink r:id="rId10" w:history="1">
              <w:r w:rsidRPr="00BE5B99">
                <w:rPr>
                  <w:rStyle w:val="Hipervnculo"/>
                </w:rPr>
                <w:t>https://www.exteriores.gob.es/es/ServiciosAlCiudadano/Paginas/Detalle-recomendaciones-de-viaje.aspx?trc=Taiw%C3%A1n</w:t>
              </w:r>
            </w:hyperlink>
          </w:p>
          <w:p w:rsidR="00F47D72" w:rsidRDefault="005B0069">
            <w:pPr>
              <w:spacing w:before="120" w:after="120"/>
              <w:ind w:left="0" w:hanging="2"/>
              <w:jc w:val="both"/>
              <w:rPr>
                <w:rFonts w:ascii="Verdana" w:eastAsia="Verdana" w:hAnsi="Verdana" w:cs="Verdana"/>
                <w:sz w:val="20"/>
                <w:szCs w:val="20"/>
              </w:rPr>
            </w:pPr>
            <w:bookmarkStart w:id="8" w:name="_GoBack"/>
            <w:bookmarkEnd w:id="8"/>
            <w:r>
              <w:rPr>
                <w:rFonts w:ascii="Verdana" w:eastAsia="Verdana" w:hAnsi="Verdana" w:cs="Verdana"/>
                <w:sz w:val="20"/>
                <w:szCs w:val="20"/>
              </w:rPr>
              <w:t xml:space="preserve">así como para consultar los requisitos de viaje. </w:t>
            </w:r>
          </w:p>
          <w:p w:rsidR="00F47D72" w:rsidRDefault="005B0069">
            <w:pPr>
              <w:spacing w:before="120" w:after="120"/>
              <w:ind w:left="0" w:hanging="2"/>
              <w:jc w:val="both"/>
              <w:rPr>
                <w:rFonts w:ascii="Verdana" w:eastAsia="Verdana" w:hAnsi="Verdana" w:cs="Verdana"/>
                <w:sz w:val="20"/>
                <w:szCs w:val="20"/>
              </w:rPr>
            </w:pPr>
            <w:r>
              <w:rPr>
                <w:rFonts w:ascii="Verdana" w:eastAsia="Verdana" w:hAnsi="Verdana" w:cs="Verdana"/>
                <w:sz w:val="20"/>
                <w:szCs w:val="20"/>
              </w:rPr>
              <w:t>Se recomienda al alumno darse de alta en el registro de matrícula de la Embajada española en destino.</w:t>
            </w:r>
          </w:p>
        </w:tc>
      </w:tr>
    </w:tbl>
    <w:p w:rsidR="00F47D72" w:rsidRDefault="00F47D72">
      <w:pPr>
        <w:ind w:left="0" w:hanging="2"/>
        <w:jc w:val="both"/>
      </w:pPr>
    </w:p>
    <w:sectPr w:rsidR="00F47D72">
      <w:pgSz w:w="11906" w:h="16838"/>
      <w:pgMar w:top="1701" w:right="1134" w:bottom="426"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CE1E61"/>
    <w:multiLevelType w:val="multilevel"/>
    <w:tmpl w:val="2DC0701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D72"/>
    <w:rsid w:val="0020278A"/>
    <w:rsid w:val="005B0069"/>
    <w:rsid w:val="00F47D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49C39"/>
  <w15:docId w15:val="{F88B2087-729A-4C38-8B1D-256B9576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uiPriority w:val="9"/>
    <w:qFormat/>
    <w:pPr>
      <w:keepNext/>
    </w:pPr>
    <w:rPr>
      <w:rFonts w:ascii="Verdana" w:eastAsia="Verdana" w:hAnsi="Verdana"/>
      <w:i/>
      <w:sz w:val="18"/>
      <w:szCs w:val="20"/>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independiente">
    <w:name w:val="Body Text"/>
    <w:basedOn w:val="Normal"/>
    <w:pPr>
      <w:widowControl w:val="0"/>
      <w:suppressAutoHyphens w:val="0"/>
    </w:pPr>
    <w:rPr>
      <w:rFonts w:ascii="Verdana" w:eastAsia="Verdana" w:hAnsi="Verdana"/>
      <w:sz w:val="20"/>
      <w:szCs w:val="20"/>
      <w:lang w:val="en-US"/>
    </w:rPr>
  </w:style>
  <w:style w:type="character" w:styleId="Hipervnculo">
    <w:name w:val="Hyperlink"/>
    <w:rPr>
      <w:color w:val="0000FF"/>
      <w:w w:val="100"/>
      <w:position w:val="-1"/>
      <w:u w:val="single"/>
      <w:effect w:val="none"/>
      <w:vertAlign w:val="baseline"/>
      <w:cs w:val="0"/>
      <w:em w:val="none"/>
    </w:rPr>
  </w:style>
  <w:style w:type="character" w:styleId="Hipervnculovisitado">
    <w:name w:val="FollowedHyperlink"/>
    <w:rPr>
      <w:color w:val="800080"/>
      <w:w w:val="100"/>
      <w:position w:val="-1"/>
      <w:u w:val="single"/>
      <w:effect w:val="none"/>
      <w:vertAlign w:val="baseline"/>
      <w:cs w:val="0"/>
      <w:em w:val="none"/>
    </w:rPr>
  </w:style>
  <w:style w:type="paragraph" w:styleId="Textoindependiente2">
    <w:name w:val="Body Text 2"/>
    <w:basedOn w:val="Normal"/>
    <w:pPr>
      <w:jc w:val="both"/>
    </w:pPr>
    <w:rPr>
      <w:rFonts w:ascii="Verdana" w:hAnsi="Verdana"/>
      <w:bCs/>
      <w:sz w:val="20"/>
    </w:rPr>
  </w:style>
  <w:style w:type="character" w:customStyle="1" w:styleId="BodyTextChar">
    <w:name w:val="Body Text Char"/>
    <w:rPr>
      <w:rFonts w:ascii="Verdana" w:eastAsia="Verdana" w:hAnsi="Verdana"/>
      <w:w w:val="100"/>
      <w:position w:val="-1"/>
      <w:effect w:val="none"/>
      <w:vertAlign w:val="baseline"/>
      <w:cs w:val="0"/>
      <w:em w:val="none"/>
      <w:lang/>
    </w:rPr>
  </w:style>
  <w:style w:type="character" w:customStyle="1" w:styleId="TextoindependienteCar">
    <w:name w:val="Texto independiente Car"/>
    <w:rPr>
      <w:rFonts w:ascii="Verdana" w:eastAsia="Verdana" w:hAnsi="Verdana"/>
      <w:w w:val="100"/>
      <w:position w:val="-1"/>
      <w:effect w:val="none"/>
      <w:vertAlign w:val="baseline"/>
      <w:cs w:val="0"/>
      <w:em w:val="none"/>
      <w:lang/>
    </w:rPr>
  </w:style>
  <w:style w:type="character" w:customStyle="1" w:styleId="longtext1">
    <w:name w:val="long_text1"/>
    <w:rPr>
      <w:w w:val="100"/>
      <w:position w:val="-1"/>
      <w:sz w:val="20"/>
      <w:szCs w:val="20"/>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libri" w:hAnsi="Calibri" w:cs="Calibri"/>
      <w:color w:val="000000"/>
      <w:position w:val="-1"/>
      <w:lang w:eastAsia="zh-CN"/>
    </w:rPr>
  </w:style>
  <w:style w:type="paragraph" w:styleId="Textosinformato">
    <w:name w:val="Plain Text"/>
    <w:basedOn w:val="Normal"/>
    <w:qFormat/>
    <w:pPr>
      <w:spacing w:before="100" w:beforeAutospacing="1" w:after="100" w:afterAutospacing="1"/>
    </w:pPr>
    <w:rPr>
      <w:lang w:val="en-US" w:eastAsia="en-US"/>
    </w:rPr>
  </w:style>
  <w:style w:type="character" w:customStyle="1" w:styleId="TextosinformatoCar">
    <w:name w:val="Texto sin formato Car"/>
    <w:rPr>
      <w:w w:val="100"/>
      <w:position w:val="-1"/>
      <w:sz w:val="24"/>
      <w:szCs w:val="24"/>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character" w:styleId="Mencinsinresolver">
    <w:name w:val="Unresolved Mention"/>
    <w:basedOn w:val="Fuentedeprrafopredeter"/>
    <w:uiPriority w:val="99"/>
    <w:semiHidden/>
    <w:unhideWhenUsed/>
    <w:rsid w:val="00202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ccu.edu.tw/app/home.php"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ne@uc3m.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xteriores.gob.es/es/ServiciosAlCiudadano/Paginas/Detalle-recomendaciones-de-viaje.aspx?trc=Taiw%C3%A1n" TargetMode="External"/><Relationship Id="rId4" Type="http://schemas.openxmlformats.org/officeDocument/2006/relationships/settings" Target="settings.xml"/><Relationship Id="rId9" Type="http://schemas.openxmlformats.org/officeDocument/2006/relationships/hyperlink" Target="https://www.nccu.edu.tw/p/426-1000-35.ph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dnaSBLu/Auri0ipLEcl2rqKPTw==">AMUW2mXylChLAqE1+W5HBQP9N+TuY0VqyyBqW9CAT4r7JwwxGMEfd8qQv+P8aR6Orf3B8chJZaYpzLp8R++HZYBH1zZOVyECJorYr06WZ8eHDDMxuaAKZKp+Zb0vXqvfHIiLPg6SBc+lrzpFZ38tDpsqH2Hr1dfGZNQYHmdUIArUWvwBlJEXmwBm23oXZgZp3ljnV+IFQC+RzzSIsSpWC+xErCZ85CS1Ynmq44OEO3E/+A94ywleKc8=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4267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Universidad Carlos III de Madrid</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clalvare</dc:creator>
  <cp:lastModifiedBy>MORENO PAVIA, MALENA</cp:lastModifiedBy>
  <cp:revision>2</cp:revision>
  <dcterms:created xsi:type="dcterms:W3CDTF">2023-04-25T12:03:00Z</dcterms:created>
  <dcterms:modified xsi:type="dcterms:W3CDTF">2023-04-25T12:03:00Z</dcterms:modified>
</cp:coreProperties>
</file>