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77" w:rsidRDefault="00E65D6F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E4FD4">
            <wp:simplePos x="0" y="0"/>
            <wp:positionH relativeFrom="column">
              <wp:posOffset>4789170</wp:posOffset>
            </wp:positionH>
            <wp:positionV relativeFrom="paragraph">
              <wp:posOffset>445770</wp:posOffset>
            </wp:positionV>
            <wp:extent cx="1089660" cy="1089660"/>
            <wp:effectExtent l="0" t="0" r="0" b="0"/>
            <wp:wrapSquare wrapText="bothSides"/>
            <wp:docPr id="1" name="Imagen 1" descr="American University of Sharja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University of Sharjah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4A">
        <w:rPr>
          <w:rFonts w:ascii="Verdana" w:eastAsia="Verdana" w:hAnsi="Verdana" w:cs="Verdana"/>
          <w:sz w:val="16"/>
          <w:szCs w:val="16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</w:t>
      </w:r>
      <w:r w:rsidR="004C194A">
        <w:rPr>
          <w:rFonts w:ascii="Verdana" w:eastAsia="Verdana" w:hAnsi="Verdana" w:cs="Verdana"/>
          <w:sz w:val="16"/>
          <w:szCs w:val="16"/>
        </w:rPr>
        <w:t xml:space="preserve">del siguiente E-mail: </w:t>
      </w:r>
      <w:hyperlink r:id="rId6">
        <w:r w:rsidR="004C194A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mne@uc3m.es</w:t>
        </w:r>
      </w:hyperlink>
    </w:p>
    <w:p w:rsidR="00E65D6F" w:rsidRDefault="004C194A" w:rsidP="00E65D6F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AMERICAN UNIVERSITY OF SHARJAH </w:t>
      </w:r>
    </w:p>
    <w:p w:rsidR="009A7F77" w:rsidRDefault="004C194A" w:rsidP="00E65D6F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(Emiratos Árabes)</w:t>
      </w:r>
      <w:r w:rsidR="00E65D6F" w:rsidRPr="00E65D6F">
        <w:rPr>
          <w:noProof/>
        </w:rPr>
        <w:t xml:space="preserve"> </w:t>
      </w:r>
    </w:p>
    <w:p w:rsidR="009A7F77" w:rsidRDefault="009A7F77">
      <w:pPr>
        <w:jc w:val="both"/>
      </w:pPr>
    </w:p>
    <w:p w:rsidR="009A7F77" w:rsidRDefault="009A7F77">
      <w:pPr>
        <w:jc w:val="both"/>
      </w:pPr>
    </w:p>
    <w:p w:rsidR="009A7F77" w:rsidRDefault="004C194A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</w:t>
      </w:r>
      <w:r w:rsidR="00E65D6F"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 xml:space="preserve"> Última modificación: </w:t>
      </w:r>
      <w:r w:rsidR="00E65D6F">
        <w:rPr>
          <w:rFonts w:ascii="Verdana" w:eastAsia="Verdana" w:hAnsi="Verdana" w:cs="Verdana"/>
          <w:sz w:val="18"/>
          <w:szCs w:val="18"/>
        </w:rPr>
        <w:t>enero 2023</w:t>
      </w:r>
    </w:p>
    <w:tbl>
      <w:tblPr>
        <w:tblStyle w:val="a"/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946"/>
      </w:tblGrid>
      <w:tr w:rsidR="009A7F77" w:rsidTr="00E65D6F">
        <w:trPr>
          <w:trHeight w:val="2143"/>
        </w:trPr>
        <w:tc>
          <w:tcPr>
            <w:tcW w:w="2552" w:type="dxa"/>
          </w:tcPr>
          <w:p w:rsidR="009A7F77" w:rsidRDefault="009A7F77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RES</w:t>
            </w: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UMEN</w:t>
            </w:r>
          </w:p>
        </w:tc>
        <w:tc>
          <w:tcPr>
            <w:tcW w:w="6946" w:type="dxa"/>
          </w:tcPr>
          <w:p w:rsidR="009A7F77" w:rsidRPr="00E65D6F" w:rsidRDefault="00E65D6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45720</wp:posOffset>
                  </wp:positionV>
                  <wp:extent cx="2119630" cy="1485900"/>
                  <wp:effectExtent l="0" t="0" r="0" b="0"/>
                  <wp:wrapSquare wrapText="bothSides" distT="0" distB="0" distL="114300" distR="114300"/>
                  <wp:docPr id="5" name="image2.gif" descr="Resultado de imagen de emiratos arabes unidos ma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Resultado de imagen de emiratos arabes unidos map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merican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Sharjah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الجامعة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الأمريكية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في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الشارقة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es una universidad privada fundada en 1997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por el Sultán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Muhammad Al-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Qasimi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 B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>asada en el modelo educativo americano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imparte toda su docencia en inglés. La universidad es líder entre los países del Golfo y Oriente Medio por su excelencia académica. 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Default="006443F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 sitúa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en el puesto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69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según el ranking QS 2023 de mejores universidades del mundo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y en el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puesto 39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de las </w:t>
            </w:r>
            <w:r w:rsidR="006C205F">
              <w:rPr>
                <w:rFonts w:ascii="Verdana" w:eastAsia="Verdana" w:hAnsi="Verdana" w:cs="Verdana"/>
                <w:sz w:val="20"/>
                <w:szCs w:val="20"/>
              </w:rPr>
              <w:t xml:space="preserve">mejores </w:t>
            </w:r>
            <w:r w:rsidR="004C194A">
              <w:rPr>
                <w:rFonts w:ascii="Verdana" w:eastAsia="Verdana" w:hAnsi="Verdana" w:cs="Verdana"/>
                <w:sz w:val="20"/>
                <w:szCs w:val="20"/>
              </w:rPr>
              <w:t>50 universidades de menos de 50 años según el ranking QS</w:t>
            </w:r>
            <w:r w:rsidR="006C205F">
              <w:rPr>
                <w:rFonts w:ascii="Verdana" w:eastAsia="Verdana" w:hAnsi="Verdana" w:cs="Verdana"/>
                <w:sz w:val="20"/>
                <w:szCs w:val="20"/>
              </w:rPr>
              <w:t xml:space="preserve"> 2021. 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Actualmente estudian en ella </w:t>
            </w:r>
            <w:r w:rsidR="006443FD">
              <w:rPr>
                <w:rFonts w:ascii="Verdana" w:eastAsia="Verdana" w:hAnsi="Verdana" w:cs="Verdana"/>
                <w:sz w:val="20"/>
                <w:szCs w:val="20"/>
              </w:rPr>
              <w:t>más de 5.000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estudiantes</w:t>
            </w:r>
            <w:r w:rsidR="006443FD">
              <w:rPr>
                <w:rFonts w:ascii="Verdana" w:eastAsia="Verdana" w:hAnsi="Verdana" w:cs="Verdana"/>
                <w:sz w:val="20"/>
                <w:szCs w:val="20"/>
              </w:rPr>
              <w:t xml:space="preserve"> de más de 94 países, por lo que cuenta con un gran ambiente internacional.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443FD">
              <w:rPr>
                <w:rFonts w:ascii="Verdana" w:eastAsia="Verdana" w:hAnsi="Verdana" w:cs="Verdana"/>
                <w:sz w:val="20"/>
                <w:szCs w:val="20"/>
              </w:rPr>
              <w:t>Se divide 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cuatro facultades, entre las que destaca la 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Ingeniería y la de Administración de Empresas. </w:t>
            </w:r>
          </w:p>
          <w:p w:rsidR="006443FD" w:rsidRPr="00E65D6F" w:rsidRDefault="006443F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A7F77" w:rsidTr="00E65D6F">
        <w:trPr>
          <w:trHeight w:val="664"/>
        </w:trPr>
        <w:tc>
          <w:tcPr>
            <w:tcW w:w="2552" w:type="dxa"/>
          </w:tcPr>
          <w:p w:rsidR="003A1B0D" w:rsidRDefault="003A1B0D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WEB</w:t>
            </w:r>
          </w:p>
        </w:tc>
        <w:tc>
          <w:tcPr>
            <w:tcW w:w="6946" w:type="dxa"/>
          </w:tcPr>
          <w:p w:rsidR="004C194A" w:rsidRDefault="004C194A">
            <w:pPr>
              <w:jc w:val="both"/>
            </w:pPr>
            <w:bookmarkStart w:id="0" w:name="_heading=h.gjdgxs" w:colFirst="0" w:colLast="0"/>
            <w:bookmarkEnd w:id="0"/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8" w:history="1">
              <w:r w:rsidRPr="00287FF0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https://www.aus.edu/</w:t>
              </w:r>
            </w:hyperlink>
          </w:p>
        </w:tc>
      </w:tr>
      <w:tr w:rsidR="009A7F77" w:rsidTr="003A1B0D">
        <w:trPr>
          <w:trHeight w:val="1070"/>
        </w:trPr>
        <w:tc>
          <w:tcPr>
            <w:tcW w:w="2552" w:type="dxa"/>
          </w:tcPr>
          <w:p w:rsidR="009A7F77" w:rsidRDefault="009A7F77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  <w:p w:rsidR="009A7F77" w:rsidRDefault="004C194A" w:rsidP="00E65D6F">
            <w:pP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INFORMACIÓN PARA ALUMNOS INTERNACIONALES</w:t>
            </w:r>
          </w:p>
        </w:tc>
        <w:tc>
          <w:tcPr>
            <w:tcW w:w="6946" w:type="dxa"/>
          </w:tcPr>
          <w:p w:rsidR="003A1B0D" w:rsidRDefault="003A1B0D">
            <w:pPr>
              <w:jc w:val="both"/>
            </w:pPr>
          </w:p>
          <w:p w:rsidR="009A7F77" w:rsidRDefault="003A1B0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9" w:history="1">
              <w:r w:rsidRPr="00287FF0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https://www.aus.edu/international-students</w:t>
              </w:r>
            </w:hyperlink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3A1B0D" w:rsidRDefault="003A1B0D" w:rsidP="00E65D6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Pr="003A1B0D" w:rsidRDefault="009A7F77" w:rsidP="003A1B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A7F77" w:rsidTr="00E65D6F">
        <w:trPr>
          <w:trHeight w:val="1268"/>
        </w:trPr>
        <w:tc>
          <w:tcPr>
            <w:tcW w:w="2552" w:type="dxa"/>
          </w:tcPr>
          <w:p w:rsidR="009A7F77" w:rsidRDefault="009A7F77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  <w:p w:rsidR="009A7F77" w:rsidRDefault="004C194A" w:rsidP="003A1B0D">
            <w:pP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ÁREAS CON CONVENIO</w:t>
            </w:r>
          </w:p>
        </w:tc>
        <w:tc>
          <w:tcPr>
            <w:tcW w:w="6946" w:type="dxa"/>
          </w:tcPr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9A7F77" w:rsidTr="00E65D6F">
        <w:trPr>
          <w:trHeight w:val="1116"/>
        </w:trPr>
        <w:tc>
          <w:tcPr>
            <w:tcW w:w="2552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COORDINADORES ACADÉMICOS</w:t>
            </w:r>
          </w:p>
        </w:tc>
        <w:tc>
          <w:tcPr>
            <w:tcW w:w="6946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9A7F77" w:rsidTr="00E65D6F">
        <w:trPr>
          <w:trHeight w:val="1699"/>
        </w:trPr>
        <w:tc>
          <w:tcPr>
            <w:tcW w:w="2552" w:type="dxa"/>
          </w:tcPr>
          <w:p w:rsidR="009A7F77" w:rsidRDefault="009A7F77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  <w:p w:rsidR="009A7F77" w:rsidRDefault="004C194A" w:rsidP="003A1B0D">
            <w:pP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IDIOMA DE LOS CURSOS</w:t>
            </w:r>
          </w:p>
        </w:tc>
        <w:tc>
          <w:tcPr>
            <w:tcW w:w="6946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Toda la docencia se imparte en </w:t>
            </w:r>
            <w:r w:rsidR="003A1B0D">
              <w:rPr>
                <w:rFonts w:ascii="Verdana" w:eastAsia="Verdana" w:hAnsi="Verdana" w:cs="Verdana"/>
                <w:b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nglés.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Pr="00E52305" w:rsidRDefault="004C194A" w:rsidP="00E52305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Consulta las bases de la Convocatoria MNE de cada año en la página de movilidad en tu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Secretaría Virtual</w:t>
            </w:r>
            <w:r w:rsidR="00E52305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9A7F77" w:rsidTr="00E65D6F">
        <w:trPr>
          <w:trHeight w:val="2693"/>
        </w:trPr>
        <w:tc>
          <w:tcPr>
            <w:tcW w:w="2552" w:type="dxa"/>
          </w:tcPr>
          <w:p w:rsidR="009A7F77" w:rsidRDefault="009A7F77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DEADLINES</w:t>
            </w:r>
          </w:p>
        </w:tc>
        <w:tc>
          <w:tcPr>
            <w:tcW w:w="6946" w:type="dxa"/>
          </w:tcPr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estudiante debe tener en cuenta que resulta de vital importancia respetar las fechas límite establecidas por la Universidad de destino para el envío de toda la documentación necesaria.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Estas fechas límite suelen cambiar cada curso académico, por lo que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 recomienda al alumno consultar las fechas límite concretas para el presente curso académico en la </w:t>
            </w:r>
            <w:r w:rsidR="00E52305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eb. </w:t>
            </w:r>
          </w:p>
          <w:p w:rsidR="003A1B0D" w:rsidRDefault="003A1B0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A1B0D" w:rsidRDefault="003A1B0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0" w:history="1">
              <w:r w:rsidRPr="00287FF0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https://www.aus.edu/admissions/international-students/apply-to-aus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E52305" w:rsidRDefault="00E52305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305" w:rsidRDefault="00E52305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1" w:history="1">
              <w:r w:rsidRPr="00287FF0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https://www.aus.edu/academics/international-study-and-exchange/abroad-at-aus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4C194A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A7F77" w:rsidTr="00E65D6F">
        <w:trPr>
          <w:trHeight w:val="1694"/>
        </w:trPr>
        <w:tc>
          <w:tcPr>
            <w:tcW w:w="2552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CALENDARIO ACADÉMICO</w:t>
            </w:r>
          </w:p>
        </w:tc>
        <w:tc>
          <w:tcPr>
            <w:tcW w:w="6946" w:type="dxa"/>
          </w:tcPr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 calendario académico se divide en dos cuatrimestres similares a los de la UC3M. 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Primer semestre 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finales de agosto a 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inales de enero</w:t>
            </w:r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Segundo semestre 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febrero a mediados de junio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16480" w:rsidRPr="00016480" w:rsidRDefault="00016480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016480">
                <w:rPr>
                  <w:rStyle w:val="Hipervnculo"/>
                  <w:rFonts w:ascii="Verdana" w:hAnsi="Verdana"/>
                  <w:sz w:val="20"/>
                  <w:szCs w:val="20"/>
                </w:rPr>
                <w:t>https://www.aus.edu/academic-calendar</w:t>
              </w:r>
            </w:hyperlink>
            <w:r w:rsidRPr="0001648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16480" w:rsidRDefault="00016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A7F77" w:rsidTr="00E65D6F">
        <w:trPr>
          <w:trHeight w:val="1414"/>
        </w:trPr>
        <w:tc>
          <w:tcPr>
            <w:tcW w:w="2552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INFORMACIÓN ACADÉMICA</w:t>
            </w:r>
          </w:p>
        </w:tc>
        <w:tc>
          <w:tcPr>
            <w:tcW w:w="6946" w:type="dxa"/>
          </w:tcPr>
          <w:p w:rsidR="00016480" w:rsidRDefault="00016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Oferta académica:</w:t>
            </w:r>
          </w:p>
          <w:p w:rsidR="00016480" w:rsidRDefault="00016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Pr="00016480" w:rsidRDefault="003A1B0D" w:rsidP="00016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3" w:history="1">
              <w:r w:rsidRPr="00287FF0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https://www.aus.edu/academics/departments-and-programs</w:t>
              </w:r>
            </w:hyperlink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A7F77" w:rsidTr="00E65D6F">
        <w:trPr>
          <w:trHeight w:val="827"/>
        </w:trPr>
        <w:tc>
          <w:tcPr>
            <w:tcW w:w="2552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ALOJAMIENTO</w:t>
            </w:r>
          </w:p>
        </w:tc>
        <w:tc>
          <w:tcPr>
            <w:tcW w:w="6946" w:type="dxa"/>
          </w:tcPr>
          <w:p w:rsidR="009A7F77" w:rsidRPr="00E65D6F" w:rsidRDefault="004C19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D6F">
              <w:rPr>
                <w:rFonts w:ascii="Verdana" w:hAnsi="Verdana"/>
                <w:sz w:val="20"/>
                <w:szCs w:val="20"/>
              </w:rPr>
              <w:t>La universidad tiene un alojamiento dentro del campus y además ofrece un servicio de “</w:t>
            </w:r>
            <w:proofErr w:type="spellStart"/>
            <w:r w:rsidRPr="00E65D6F">
              <w:rPr>
                <w:rFonts w:ascii="Verdana" w:hAnsi="Verdana"/>
                <w:sz w:val="20"/>
                <w:szCs w:val="20"/>
              </w:rPr>
              <w:t>Student</w:t>
            </w:r>
            <w:proofErr w:type="spellEnd"/>
            <w:r w:rsidRPr="00E65D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5D6F"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 w:rsidRPr="00E65D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5D6F">
              <w:rPr>
                <w:rFonts w:ascii="Verdana" w:hAnsi="Verdana"/>
                <w:sz w:val="20"/>
                <w:szCs w:val="20"/>
              </w:rPr>
              <w:t>Services</w:t>
            </w:r>
            <w:proofErr w:type="spellEnd"/>
            <w:r w:rsidRPr="00E65D6F">
              <w:rPr>
                <w:rFonts w:ascii="Verdana" w:hAnsi="Verdana"/>
                <w:sz w:val="20"/>
                <w:szCs w:val="20"/>
              </w:rPr>
              <w:t xml:space="preserve">” para cuestiones relacionadas con la comunidad. </w:t>
            </w:r>
          </w:p>
          <w:p w:rsidR="009A7F77" w:rsidRDefault="00016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4" w:history="1">
              <w:r w:rsidRPr="00287FF0">
                <w:rPr>
                  <w:rStyle w:val="Hipervnculo"/>
                  <w:rFonts w:ascii="Verdana" w:eastAsia="Verdana" w:hAnsi="Verdana" w:cs="Verdana"/>
                  <w:sz w:val="20"/>
                  <w:szCs w:val="20"/>
                </w:rPr>
                <w:t>https://www.aus.edu/housing-and-dining</w:t>
              </w:r>
            </w:hyperlink>
            <w:r w:rsidR="004C194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9A7F77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A7F77" w:rsidTr="00E65D6F">
        <w:trPr>
          <w:trHeight w:val="976"/>
        </w:trPr>
        <w:tc>
          <w:tcPr>
            <w:tcW w:w="2552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SEGURO MÉDICO</w:t>
            </w:r>
          </w:p>
        </w:tc>
        <w:tc>
          <w:tcPr>
            <w:tcW w:w="6946" w:type="dxa"/>
          </w:tcPr>
          <w:p w:rsidR="00016480" w:rsidRDefault="0001648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Pr="00E65D6F" w:rsidRDefault="00016480">
            <w:pPr>
              <w:jc w:val="both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hyperlink r:id="rId15" w:history="1">
              <w:r w:rsidRPr="00287FF0">
                <w:rPr>
                  <w:rStyle w:val="Hipervnculo"/>
                  <w:rFonts w:ascii="Verdana" w:hAnsi="Verdana"/>
                  <w:sz w:val="20"/>
                  <w:szCs w:val="20"/>
                </w:rPr>
                <w:t>https://www.aus.edu/life-at-aus/health-and-wellness/university-health-services/student-health-insurance-plans</w:t>
              </w:r>
            </w:hyperlink>
            <w:r w:rsidR="00E65D6F" w:rsidRPr="00E65D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A7F77" w:rsidTr="00E65D6F">
        <w:trPr>
          <w:trHeight w:val="2113"/>
        </w:trPr>
        <w:tc>
          <w:tcPr>
            <w:tcW w:w="2552" w:type="dxa"/>
          </w:tcPr>
          <w:p w:rsidR="009A7F77" w:rsidRDefault="009A7F77">
            <w:pPr>
              <w:jc w:val="both"/>
            </w:pPr>
          </w:p>
          <w:p w:rsidR="009A7F77" w:rsidRDefault="004C194A">
            <w:pPr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RECOMENDACIONES DE VIAJE</w:t>
            </w:r>
          </w:p>
        </w:tc>
        <w:tc>
          <w:tcPr>
            <w:tcW w:w="6946" w:type="dxa"/>
          </w:tcPr>
          <w:p w:rsidR="009A7F77" w:rsidRPr="00E65D6F" w:rsidRDefault="00E65D6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65D6F">
              <w:rPr>
                <w:rFonts w:ascii="Verdana" w:eastAsia="Verdana" w:hAnsi="Verdana" w:cs="Verdana"/>
                <w:sz w:val="20"/>
                <w:szCs w:val="20"/>
              </w:rPr>
              <w:t>Aconsejamos</w:t>
            </w:r>
            <w:r w:rsidR="004C194A" w:rsidRPr="00E65D6F">
              <w:rPr>
                <w:rFonts w:ascii="Verdana" w:eastAsia="Verdana" w:hAnsi="Verdana" w:cs="Verdana"/>
                <w:sz w:val="20"/>
                <w:szCs w:val="20"/>
              </w:rPr>
              <w:t xml:space="preserve"> encarecidamente a los estudiantes consultar las recomendaciones de viaje que ofrece el Ministerio de Asuntos Exteriores y Cooperación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9A7F77" w:rsidRPr="00E65D6F" w:rsidRDefault="009A7F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A7F77" w:rsidRPr="00E65D6F" w:rsidRDefault="00E65D6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6" w:history="1">
              <w:r w:rsidRPr="00E65D6F">
                <w:rPr>
                  <w:rStyle w:val="Hipervnculo"/>
                  <w:rFonts w:ascii="Verdana" w:hAnsi="Verdana"/>
                  <w:sz w:val="20"/>
                  <w:szCs w:val="20"/>
                </w:rPr>
                <w:t>https://www.exteriores.gob.es/es/ServiciosAlCiudadano/Paginas/Detalle-recomendaciones-de-viaje.aspx?trc=Emiratos+%C3%81rabes+Unidos</w:t>
              </w:r>
            </w:hyperlink>
            <w:r w:rsidRPr="00E65D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194A" w:rsidRPr="00E65D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E65D6F" w:rsidRPr="00E65D6F" w:rsidRDefault="00E65D6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65D6F" w:rsidRDefault="00E65D6F">
            <w:pPr>
              <w:jc w:val="both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r w:rsidRPr="00E65D6F">
              <w:rPr>
                <w:rFonts w:ascii="Verdana" w:eastAsia="Verdana" w:hAnsi="Verdana" w:cs="Verdana"/>
                <w:sz w:val="20"/>
                <w:szCs w:val="20"/>
              </w:rPr>
              <w:t xml:space="preserve">Información sobre visado: </w:t>
            </w:r>
            <w:hyperlink r:id="rId17">
              <w:r w:rsidRPr="00E65D6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https://www.aus.edu/student-visas</w:t>
              </w:r>
            </w:hyperlink>
          </w:p>
          <w:p w:rsidR="00E65D6F" w:rsidRDefault="00E65D6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A7F77" w:rsidRDefault="009A7F77">
      <w:pPr>
        <w:jc w:val="both"/>
      </w:pPr>
    </w:p>
    <w:sectPr w:rsidR="009A7F7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77"/>
    <w:rsid w:val="00016480"/>
    <w:rsid w:val="003A1B0D"/>
    <w:rsid w:val="003D15FE"/>
    <w:rsid w:val="004C194A"/>
    <w:rsid w:val="006443FD"/>
    <w:rsid w:val="006C205F"/>
    <w:rsid w:val="009A7F77"/>
    <w:rsid w:val="00E52305"/>
    <w:rsid w:val="00E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DD35"/>
  <w15:docId w15:val="{2D29C813-70A2-473F-9E7B-8FAB5845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4F2C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B08F3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6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.edu/" TargetMode="External"/><Relationship Id="rId13" Type="http://schemas.openxmlformats.org/officeDocument/2006/relationships/hyperlink" Target="https://www.aus.edu/academics/departments-and-progra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aus.edu/academic-calendar" TargetMode="External"/><Relationship Id="rId17" Type="http://schemas.openxmlformats.org/officeDocument/2006/relationships/hyperlink" Target="https://www.aus.edu/student-vis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teriores.gob.es/es/ServiciosAlCiudadano/Paginas/Detalle-recomendaciones-de-viaje.aspx?trc=Emiratos+%C3%81rabes+Unid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ne@uc3m.es" TargetMode="External"/><Relationship Id="rId11" Type="http://schemas.openxmlformats.org/officeDocument/2006/relationships/hyperlink" Target="https://www.aus.edu/academics/international-study-and-exchange/abroad-at-au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us.edu/life-at-aus/health-and-wellness/university-health-services/student-health-insurance-plans" TargetMode="External"/><Relationship Id="rId10" Type="http://schemas.openxmlformats.org/officeDocument/2006/relationships/hyperlink" Target="https://www.aus.edu/admissions/international-students/apply-to-a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us.edu/international-students" TargetMode="External"/><Relationship Id="rId14" Type="http://schemas.openxmlformats.org/officeDocument/2006/relationships/hyperlink" Target="https://www.aus.edu/housing-and-din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HjcOcQOimxv5zmPSERS1D84Zw==">AMUW2mUq2R+stSx1WfUyAvVXgjD1A8RItdoCgaCTbFDl+dPn3Pia/k70syMLSobuOe3mGpvHEIkeguk65wOe+WTtClq6bHJFv6K95goi0Rc8sHyMS+6/ND+toCN03jiN+PHnFcbBgHyC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BONILLO BALLESTEROS, EVA</dc:creator>
  <cp:lastModifiedBy>ANTOLINEZ PARRADO, LAURA</cp:lastModifiedBy>
  <cp:revision>6</cp:revision>
  <dcterms:created xsi:type="dcterms:W3CDTF">2023-01-16T12:55:00Z</dcterms:created>
  <dcterms:modified xsi:type="dcterms:W3CDTF">2023-01-16T13:05:00Z</dcterms:modified>
</cp:coreProperties>
</file>