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B3" w:rsidRDefault="009A2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>
          <w:rPr>
            <w:rFonts w:ascii="Verdana" w:eastAsia="Verdana" w:hAnsi="Verdana" w:cs="Verdana"/>
            <w:i/>
            <w:color w:val="1155CC"/>
            <w:sz w:val="16"/>
            <w:szCs w:val="16"/>
            <w:u w:val="single"/>
          </w:rPr>
          <w:t>mne@u3m.es</w:t>
        </w:r>
      </w:hyperlink>
    </w:p>
    <w:p w:rsidR="00C306B3" w:rsidRDefault="00C30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306B3" w:rsidRDefault="009A2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4732020</wp:posOffset>
            </wp:positionH>
            <wp:positionV relativeFrom="paragraph">
              <wp:posOffset>39370</wp:posOffset>
            </wp:positionV>
            <wp:extent cx="1304925" cy="1295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6B3" w:rsidRDefault="00C30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</w:p>
    <w:p w:rsidR="00C306B3" w:rsidRDefault="009A2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proofErr w:type="spellStart"/>
      <w:r>
        <w:rPr>
          <w:rFonts w:ascii="Verdana" w:eastAsia="Verdana" w:hAnsi="Verdana" w:cs="Verdana"/>
          <w:b/>
          <w:color w:val="000000"/>
          <w:sz w:val="26"/>
          <w:szCs w:val="26"/>
        </w:rPr>
        <w:t>Mapúa</w:t>
      </w:r>
      <w:proofErr w:type="spellEnd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6"/>
          <w:szCs w:val="26"/>
        </w:rPr>
        <w:t>Institute</w:t>
      </w:r>
      <w:proofErr w:type="spellEnd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6"/>
          <w:szCs w:val="26"/>
        </w:rPr>
        <w:t>of</w:t>
      </w:r>
      <w:proofErr w:type="spellEnd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6"/>
          <w:szCs w:val="26"/>
        </w:rPr>
        <w:t>Technology</w:t>
      </w:r>
      <w:proofErr w:type="spellEnd"/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                                  </w:t>
      </w:r>
    </w:p>
    <w:p w:rsidR="00C306B3" w:rsidRDefault="009A2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Intramuros, Manila  </w:t>
      </w:r>
    </w:p>
    <w:p w:rsidR="00C306B3" w:rsidRDefault="009A2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Filipinas</w:t>
      </w:r>
    </w:p>
    <w:p w:rsidR="00C306B3" w:rsidRDefault="00C306B3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C306B3" w:rsidRDefault="00C306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C306B3" w:rsidRDefault="00C306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C306B3" w:rsidRDefault="009A26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Última actualización: </w:t>
      </w:r>
      <w:r w:rsidR="002E6BB9">
        <w:rPr>
          <w:rFonts w:ascii="Verdana" w:eastAsia="Verdana" w:hAnsi="Verdana" w:cs="Verdana"/>
          <w:i/>
          <w:color w:val="000000"/>
          <w:sz w:val="18"/>
          <w:szCs w:val="18"/>
        </w:rPr>
        <w:t>abril 202</w:t>
      </w:r>
      <w:r w:rsidR="005E4526">
        <w:rPr>
          <w:rFonts w:ascii="Verdana" w:eastAsia="Verdana" w:hAnsi="Verdana" w:cs="Verdana"/>
          <w:i/>
          <w:color w:val="000000"/>
          <w:sz w:val="18"/>
          <w:szCs w:val="18"/>
        </w:rPr>
        <w:t>3</w:t>
      </w:r>
    </w:p>
    <w:tbl>
      <w:tblPr>
        <w:tblStyle w:val="a"/>
        <w:tblW w:w="1046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7872"/>
      </w:tblGrid>
      <w:tr w:rsidR="00C306B3" w:rsidTr="002E6BB9">
        <w:trPr>
          <w:trHeight w:val="2069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RESUMEN</w:t>
            </w:r>
          </w:p>
        </w:tc>
        <w:tc>
          <w:tcPr>
            <w:tcW w:w="7872" w:type="dxa"/>
          </w:tcPr>
          <w:p w:rsidR="00C306B3" w:rsidRPr="00F01EDD" w:rsidRDefault="00BA6D04" w:rsidP="00BA6D0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01EDD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131445</wp:posOffset>
                  </wp:positionV>
                  <wp:extent cx="1249680" cy="1531620"/>
                  <wp:effectExtent l="0" t="0" r="762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531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                        El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Mapúa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Institute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Technology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es una institución privada situada en uno de los barrios más antiguos de Manila. Fue fundada en 1925 por Tomás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Mapúa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el primer arquitecto registrado como tal en Filipinas. La universidad fue la primera en impartir ingeniería en el país. Entre los estudios que se imparten, podemos destacar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Psychology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Computer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Science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Technical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Communication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Information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Technology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Accounting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>Entrepreneurship</w:t>
            </w:r>
            <w:proofErr w:type="spellEnd"/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, Business Management, entre otros. Actualmente la </w:t>
            </w:r>
            <w:r w:rsidRPr="00F01EDD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009A267A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niversidad cuenta con más de 15.000 alumnos. </w:t>
            </w:r>
            <w:r w:rsidR="00F01EDD" w:rsidRPr="00F01EDD">
              <w:rPr>
                <w:rFonts w:ascii="Verdana" w:eastAsia="Verdana" w:hAnsi="Verdana" w:cs="Verdana"/>
                <w:sz w:val="20"/>
                <w:szCs w:val="20"/>
              </w:rPr>
              <w:t xml:space="preserve">Se sitúa en el puesto 501 de mejores universidades asiáticas según el ranking QS.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WEB</w:t>
            </w:r>
          </w:p>
        </w:tc>
        <w:bookmarkStart w:id="0" w:name="_heading=h.gjdgxs" w:colFirst="0" w:colLast="0"/>
        <w:bookmarkEnd w:id="0"/>
        <w:tc>
          <w:tcPr>
            <w:tcW w:w="7872" w:type="dxa"/>
          </w:tcPr>
          <w:p w:rsidR="00C306B3" w:rsidRPr="00F01EDD" w:rsidRDefault="00BA6D0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F01ED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01EDD">
              <w:rPr>
                <w:rFonts w:ascii="Verdana" w:hAnsi="Verdana"/>
                <w:sz w:val="20"/>
                <w:szCs w:val="20"/>
              </w:rPr>
              <w:instrText xml:space="preserve"> HYPERLINK "https://www.mapua.edu.ph/" </w:instrText>
            </w:r>
            <w:r w:rsidRPr="00F01ED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1EDD">
              <w:rPr>
                <w:rStyle w:val="Hipervnculo"/>
                <w:rFonts w:ascii="Verdana" w:hAnsi="Verdana"/>
                <w:sz w:val="20"/>
                <w:szCs w:val="20"/>
              </w:rPr>
              <w:t>https://www.mapua</w:t>
            </w:r>
            <w:r w:rsidRPr="00F01EDD">
              <w:rPr>
                <w:rStyle w:val="Hipervnculo"/>
                <w:rFonts w:ascii="Verdana" w:hAnsi="Verdana"/>
                <w:sz w:val="20"/>
                <w:szCs w:val="20"/>
              </w:rPr>
              <w:t>.</w:t>
            </w:r>
            <w:r w:rsidRPr="00F01EDD">
              <w:rPr>
                <w:rStyle w:val="Hipervnculo"/>
                <w:rFonts w:ascii="Verdana" w:hAnsi="Verdana"/>
                <w:sz w:val="20"/>
                <w:szCs w:val="20"/>
              </w:rPr>
              <w:t>edu.ph/</w:t>
            </w:r>
            <w:r w:rsidRPr="00F01ED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01E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PARA ALUMNOS INTERNACIONALES</w:t>
            </w:r>
          </w:p>
        </w:tc>
        <w:tc>
          <w:tcPr>
            <w:tcW w:w="7872" w:type="dxa"/>
          </w:tcPr>
          <w:p w:rsidR="00A977C3" w:rsidRDefault="000549A4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0" w:history="1">
              <w:r w:rsidR="00BA6D04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https://www.m</w:t>
              </w:r>
              <w:r w:rsidR="00BA6D04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a</w:t>
              </w:r>
              <w:r w:rsidR="00BA6D04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pua.edu.ph/Academics/InternationalPrograms/</w:t>
              </w:r>
            </w:hyperlink>
            <w:r w:rsidR="00BA6D04" w:rsidRPr="00F01ED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06B3" w:rsidRPr="00A977C3" w:rsidRDefault="000549A4" w:rsidP="00A977C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hyperlink r:id="rId11" w:history="1"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https://www.mapua.edu</w:t>
              </w:r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.</w:t>
              </w:r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ph/admissions/foreignstudentguide/</w:t>
              </w:r>
            </w:hyperlink>
            <w:r w:rsidR="00A977C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ÁREAS CON CONVENIO</w:t>
            </w:r>
          </w:p>
        </w:tc>
        <w:tc>
          <w:tcPr>
            <w:tcW w:w="7872" w:type="dxa"/>
          </w:tcPr>
          <w:p w:rsidR="00C306B3" w:rsidRDefault="009A267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COORDINADORES ACADÉMICOS</w:t>
            </w:r>
          </w:p>
        </w:tc>
        <w:tc>
          <w:tcPr>
            <w:tcW w:w="7872" w:type="dxa"/>
          </w:tcPr>
          <w:p w:rsidR="00C306B3" w:rsidRDefault="009A267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C306B3" w:rsidRDefault="00C3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IDIOMA DE LOS CURSOS</w:t>
            </w:r>
          </w:p>
        </w:tc>
        <w:tc>
          <w:tcPr>
            <w:tcW w:w="7872" w:type="dxa"/>
          </w:tcPr>
          <w:p w:rsidR="00C306B3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Los cursos son impartidos en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inglés</w:t>
            </w:r>
            <w:r w:rsidR="00BA6D0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:rsidR="00C306B3" w:rsidRDefault="009A267A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746D3B" w:rsidRDefault="00746D3B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DEADLINES</w:t>
            </w:r>
          </w:p>
        </w:tc>
        <w:tc>
          <w:tcPr>
            <w:tcW w:w="7872" w:type="dxa"/>
          </w:tcPr>
          <w:p w:rsidR="00C306B3" w:rsidRDefault="009A267A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estudiante debe tener en cuenta que resulta de vital importancia respetar las fechas límite establecidas por la </w:t>
            </w:r>
            <w:r w:rsidR="00A16FFB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niversidad de destino para el envío de toda la documentación necesaria</w:t>
            </w:r>
          </w:p>
          <w:p w:rsidR="00C306B3" w:rsidRDefault="009A267A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Estas fechas límite suelen cambiar cada curso académico por lo que se recomienda al alumno consultar las fechas límite concretas para el presente curso académico en la Web.</w:t>
            </w:r>
          </w:p>
          <w:p w:rsidR="00C306B3" w:rsidRDefault="000549A4" w:rsidP="00A16FFB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2" w:history="1">
              <w:r w:rsidR="00A16FFB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https://www.mapua.ed</w:t>
              </w:r>
              <w:r w:rsidR="00A16FFB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u</w:t>
              </w:r>
              <w:r w:rsidR="00A16FFB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.ph/Academics/InternationalPrograms/Students.aspx</w:t>
              </w:r>
            </w:hyperlink>
            <w:r w:rsidR="00A16FF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lastRenderedPageBreak/>
              <w:t>CALENDARIO ACADÉMICO</w:t>
            </w:r>
          </w:p>
        </w:tc>
        <w:tc>
          <w:tcPr>
            <w:tcW w:w="7872" w:type="dxa"/>
          </w:tcPr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El curso se divide en cuatro módulos, después de cada módulo hay unos correspondientes exámenes. </w:t>
            </w:r>
          </w:p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First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Term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01EDD"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Agosto - octubre</w:t>
            </w:r>
          </w:p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Second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Term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01EDD"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Noviembre - enero</w:t>
            </w:r>
          </w:p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Third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Term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01EDD"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Febrero - abril</w:t>
            </w:r>
          </w:p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Fourth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Term</w:t>
            </w:r>
            <w:proofErr w:type="spellEnd"/>
            <w:r w:rsidRPr="00F01ED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01EDD"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Mayo - Julio</w:t>
            </w:r>
          </w:p>
          <w:p w:rsidR="00C306B3" w:rsidRPr="00F01EDD" w:rsidRDefault="009A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El calendario puede variar de un año a otro, se recomienda consultar en la página. </w:t>
            </w:r>
          </w:p>
          <w:p w:rsidR="00C306B3" w:rsidRPr="00F01EDD" w:rsidRDefault="0005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3" w:history="1">
              <w:r w:rsidR="00A964E8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https://www.mapua.edu.p</w:t>
              </w:r>
              <w:r w:rsidR="00A964E8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</w:t>
              </w:r>
              <w:r w:rsidR="00A964E8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/About/Offices/RO/Academic%20Calendar.aspx</w:t>
              </w:r>
            </w:hyperlink>
            <w:r w:rsidR="00A964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INFORMACIÓN ACADÉMICA</w:t>
            </w:r>
          </w:p>
        </w:tc>
        <w:tc>
          <w:tcPr>
            <w:tcW w:w="7872" w:type="dxa"/>
          </w:tcPr>
          <w:p w:rsidR="00A16FFB" w:rsidRPr="00F01EDD" w:rsidRDefault="009A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Antes de ser admitidos, los alumnos deberán aprobar el examen </w:t>
            </w:r>
            <w:proofErr w:type="spellStart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Mapúa</w:t>
            </w:r>
            <w:proofErr w:type="spellEnd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Scholastic</w:t>
            </w:r>
            <w:proofErr w:type="spellEnd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Aptitude</w:t>
            </w:r>
            <w:proofErr w:type="spellEnd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Examination</w:t>
            </w:r>
            <w:proofErr w:type="spellEnd"/>
            <w:r w:rsidRPr="00F01EDD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(MSAE)</w:t>
            </w: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 tener una puntuación determinada en el examen de acceso a la universidad. Las clases son obligatorias</w:t>
            </w:r>
            <w:r w:rsidR="00A16FFB"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C306B3" w:rsidRPr="00F01EDD" w:rsidRDefault="009A267A" w:rsidP="00F01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01E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https://www.mapua.edu.ph/Academics/I</w:t>
              </w:r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n</w:t>
              </w:r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ternationalPrograms/Programs.aspx</w:t>
              </w:r>
            </w:hyperlink>
            <w:r w:rsidR="00A16FFB" w:rsidRPr="00F01E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902"/>
          <w:jc w:val="center"/>
        </w:trPr>
        <w:tc>
          <w:tcPr>
            <w:tcW w:w="2590" w:type="dxa"/>
          </w:tcPr>
          <w:p w:rsidR="00C306B3" w:rsidRDefault="009A267A">
            <w:pPr>
              <w:spacing w:before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ALOJAMIENTO</w:t>
            </w:r>
          </w:p>
        </w:tc>
        <w:tc>
          <w:tcPr>
            <w:tcW w:w="7872" w:type="dxa"/>
          </w:tcPr>
          <w:p w:rsidR="00C306B3" w:rsidRPr="00F01EDD" w:rsidRDefault="00F01EDD">
            <w:pPr>
              <w:spacing w:before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 universidad ofrece información sobre alojamiento fuera del campus (Zen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Towers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Crown Tower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Belt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Lub’D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Makati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 en el siguiente enlace:</w:t>
            </w:r>
          </w:p>
          <w:p w:rsidR="00A16FFB" w:rsidRPr="00F01EDD" w:rsidRDefault="000549A4">
            <w:pPr>
              <w:spacing w:before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https://www.mapua.ed</w:t>
              </w:r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u</w:t>
              </w:r>
              <w:r w:rsidR="00A16FFB" w:rsidRPr="00F01EDD">
                <w:rPr>
                  <w:rStyle w:val="Hipervnculo"/>
                  <w:rFonts w:ascii="Verdana" w:hAnsi="Verdana"/>
                  <w:sz w:val="20"/>
                  <w:szCs w:val="20"/>
                </w:rPr>
                <w:t>.ph/Academics/InternationalPrograms/Programs.aspx</w:t>
              </w:r>
            </w:hyperlink>
            <w:r w:rsidR="00A16FFB" w:rsidRPr="00F01E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SEGURO MÉDICO</w:t>
            </w:r>
          </w:p>
        </w:tc>
        <w:tc>
          <w:tcPr>
            <w:tcW w:w="7872" w:type="dxa"/>
          </w:tcPr>
          <w:p w:rsidR="00C306B3" w:rsidRPr="00A16FFB" w:rsidRDefault="009A267A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16FFB">
              <w:rPr>
                <w:rFonts w:ascii="Verdana" w:eastAsia="Verdana" w:hAnsi="Verdana" w:cs="Verdana"/>
                <w:sz w:val="20"/>
                <w:szCs w:val="20"/>
              </w:rPr>
              <w:t>Se especifica si los alumnos internacionales deben contratar un seguro médico o no, y si debe ser obligatoriamente el de la universidad. Adjuntar enlace con información.</w:t>
            </w:r>
          </w:p>
        </w:tc>
      </w:tr>
      <w:tr w:rsidR="00C306B3" w:rsidTr="002E6BB9">
        <w:trPr>
          <w:trHeight w:val="1021"/>
          <w:jc w:val="center"/>
        </w:trPr>
        <w:tc>
          <w:tcPr>
            <w:tcW w:w="2590" w:type="dxa"/>
          </w:tcPr>
          <w:p w:rsidR="00C306B3" w:rsidRDefault="009A267A">
            <w:pPr>
              <w:spacing w:before="120" w:after="120"/>
              <w:ind w:left="0" w:hanging="2"/>
              <w:rPr>
                <w:rFonts w:ascii="Verdana" w:eastAsia="Verdana" w:hAnsi="Verdana" w:cs="Verdana"/>
                <w:color w:val="00008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80"/>
                <w:sz w:val="20"/>
                <w:szCs w:val="20"/>
              </w:rPr>
              <w:t>RECOMENDACIONES DE VIAJE</w:t>
            </w:r>
          </w:p>
        </w:tc>
        <w:tc>
          <w:tcPr>
            <w:tcW w:w="7872" w:type="dxa"/>
          </w:tcPr>
          <w:p w:rsidR="00C306B3" w:rsidRDefault="002E6BB9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9A267A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 y Cooperación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2E6BB9" w:rsidRDefault="000549A4" w:rsidP="002E6BB9">
            <w:pPr>
              <w:spacing w:before="120" w:after="120"/>
              <w:ind w:left="0" w:hanging="2"/>
              <w:jc w:val="both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2E6BB9" w:rsidRPr="00063D21">
                <w:rPr>
                  <w:rStyle w:val="Hipervnculo"/>
                  <w:rFonts w:ascii="Verdana" w:hAnsi="Verdana"/>
                  <w:sz w:val="20"/>
                  <w:szCs w:val="20"/>
                </w:rPr>
                <w:t>https://www.exteriore</w:t>
              </w:r>
              <w:r w:rsidR="002E6BB9" w:rsidRPr="00063D21">
                <w:rPr>
                  <w:rStyle w:val="Hipervnculo"/>
                  <w:rFonts w:ascii="Verdana" w:hAnsi="Verdana"/>
                  <w:sz w:val="20"/>
                  <w:szCs w:val="20"/>
                </w:rPr>
                <w:t>s</w:t>
              </w:r>
              <w:r w:rsidR="002E6BB9" w:rsidRPr="00063D21">
                <w:rPr>
                  <w:rStyle w:val="Hipervnculo"/>
                  <w:rFonts w:ascii="Verdana" w:hAnsi="Verdana"/>
                  <w:sz w:val="20"/>
                  <w:szCs w:val="20"/>
                </w:rPr>
                <w:t>.gob.es/Embajadas/manila/es/ViajarA/Paginas/Recomendaciones-de-viaje.aspx</w:t>
              </w:r>
            </w:hyperlink>
            <w:r w:rsidR="002E6BB9" w:rsidRPr="00063D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6BB9" w:rsidRPr="00063D21" w:rsidRDefault="002E6BB9" w:rsidP="002E6BB9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63D21">
              <w:rPr>
                <w:rFonts w:ascii="Verdana" w:eastAsia="Verdana" w:hAnsi="Verdana" w:cs="Verdana"/>
                <w:sz w:val="20"/>
                <w:szCs w:val="20"/>
              </w:rPr>
              <w:t>Se recomienda al alumno darse de alta en el registro de matrícula de la Embajada española en destino:</w:t>
            </w:r>
          </w:p>
          <w:p w:rsidR="002E6BB9" w:rsidRPr="00063D21" w:rsidRDefault="000549A4" w:rsidP="00A977C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7" w:history="1">
              <w:r w:rsidR="002E6BB9" w:rsidRPr="00063D21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https://registroviajeros.exte</w:t>
              </w:r>
              <w:r w:rsidR="002E6BB9" w:rsidRPr="00063D21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r</w:t>
              </w:r>
              <w:r w:rsidR="002E6BB9" w:rsidRPr="00063D21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iores.gob.es/</w:t>
              </w:r>
            </w:hyperlink>
            <w:r w:rsidR="002E6BB9" w:rsidRPr="00063D2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E6BB9" w:rsidRDefault="002E6BB9" w:rsidP="00A977C3">
            <w:pPr>
              <w:spacing w:before="120" w:after="12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63D21">
              <w:rPr>
                <w:rFonts w:ascii="Verdana" w:eastAsia="Verdana" w:hAnsi="Verdana" w:cs="Verdana"/>
                <w:sz w:val="20"/>
                <w:szCs w:val="20"/>
              </w:rPr>
              <w:t xml:space="preserve">Se recomienda solicitar un </w:t>
            </w:r>
            <w:r w:rsidRPr="00063D21">
              <w:rPr>
                <w:rFonts w:ascii="Verdana" w:eastAsia="Verdana" w:hAnsi="Verdana" w:cs="Verdana"/>
                <w:b/>
                <w:sz w:val="20"/>
                <w:szCs w:val="20"/>
              </w:rPr>
              <w:t>visado</w:t>
            </w:r>
            <w:r w:rsidRPr="00063D21">
              <w:rPr>
                <w:rFonts w:ascii="Verdana" w:eastAsia="Verdana" w:hAnsi="Verdana" w:cs="Verdana"/>
                <w:sz w:val="20"/>
                <w:szCs w:val="20"/>
              </w:rPr>
              <w:t xml:space="preserve"> de turista de 59 días en la Embajada/Consulado de Filipinas. Los alumnos procedentes de países sin restricciones de entrada pueden, aunque no es una opción recomendada, obtener un visado de turista de 21 días automáticamente a la llegada al </w:t>
            </w:r>
            <w:r w:rsidRPr="00063D2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Aeropuerto Internacional si la validez de su pasaporte cubre el total de su estancia y muestran un billete con la vuelta cerrada. </w:t>
            </w:r>
          </w:p>
          <w:p w:rsidR="00C306B3" w:rsidRDefault="000549A4" w:rsidP="00A977C3">
            <w:pPr>
              <w:spacing w:before="120" w:after="120"/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8" w:history="1"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https://www.mapua.edu.ph</w:t>
              </w:r>
              <w:bookmarkStart w:id="1" w:name="_GoBack"/>
              <w:bookmarkEnd w:id="1"/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/</w:t>
              </w:r>
              <w:r w:rsidR="00A977C3" w:rsidRPr="005364C8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Academics/InternationalPrograms/Programs.aspx</w:t>
              </w:r>
            </w:hyperlink>
            <w:r w:rsidR="00A977C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C306B3" w:rsidRDefault="00C306B3">
      <w:pPr>
        <w:ind w:left="0" w:hanging="2"/>
        <w:jc w:val="both"/>
      </w:pPr>
    </w:p>
    <w:sectPr w:rsidR="00C306B3">
      <w:headerReference w:type="default" r:id="rId19"/>
      <w:pgSz w:w="11906" w:h="16838"/>
      <w:pgMar w:top="1701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A4" w:rsidRDefault="000549A4">
      <w:pPr>
        <w:spacing w:line="240" w:lineRule="auto"/>
        <w:ind w:left="0" w:hanging="2"/>
      </w:pPr>
      <w:r>
        <w:separator/>
      </w:r>
    </w:p>
  </w:endnote>
  <w:endnote w:type="continuationSeparator" w:id="0">
    <w:p w:rsidR="000549A4" w:rsidRDefault="000549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A4" w:rsidRDefault="000549A4">
      <w:pPr>
        <w:spacing w:line="240" w:lineRule="auto"/>
        <w:ind w:left="0" w:hanging="2"/>
      </w:pPr>
      <w:r>
        <w:separator/>
      </w:r>
    </w:p>
  </w:footnote>
  <w:footnote w:type="continuationSeparator" w:id="0">
    <w:p w:rsidR="000549A4" w:rsidRDefault="000549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6B3" w:rsidRDefault="00C306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B3"/>
    <w:rsid w:val="000549A4"/>
    <w:rsid w:val="002E6BB9"/>
    <w:rsid w:val="00520395"/>
    <w:rsid w:val="005E4526"/>
    <w:rsid w:val="00746D3B"/>
    <w:rsid w:val="009A267A"/>
    <w:rsid w:val="00A16FFB"/>
    <w:rsid w:val="00A964E8"/>
    <w:rsid w:val="00A977C3"/>
    <w:rsid w:val="00BA6D04"/>
    <w:rsid w:val="00C306B3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3AF"/>
  <w15:docId w15:val="{8EA08403-6027-48EC-A18E-73A0A8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Verdana" w:eastAsia="Verdana" w:hAnsi="Verdana"/>
      <w:i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widowControl w:val="0"/>
      <w:suppressAutoHyphens w:val="0"/>
    </w:pPr>
    <w:rPr>
      <w:rFonts w:ascii="Verdana" w:eastAsia="Verdana" w:hAnsi="Verdana"/>
      <w:sz w:val="20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bCs/>
      <w:sz w:val="20"/>
    </w:rPr>
  </w:style>
  <w:style w:type="character" w:customStyle="1" w:styleId="TextoindependienteCar">
    <w:name w:val="Texto independiente Car"/>
    <w:rPr>
      <w:rFonts w:ascii="Verdana" w:eastAsia="Verdana" w:hAnsi="Verdana"/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extosinformatoCar">
    <w:name w:val="Texto sin format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A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pua.edu.ph/About/Offices/RO/Academic%20Calendar.aspx" TargetMode="External"/><Relationship Id="rId18" Type="http://schemas.openxmlformats.org/officeDocument/2006/relationships/hyperlink" Target="https://www.mapua.edu.ph/Academics/InternationalPrograms/Program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ne@u3m.es" TargetMode="External"/><Relationship Id="rId12" Type="http://schemas.openxmlformats.org/officeDocument/2006/relationships/hyperlink" Target="https://www.mapua.edu.ph/Academics/InternationalPrograms/Students.aspx" TargetMode="External"/><Relationship Id="rId17" Type="http://schemas.openxmlformats.org/officeDocument/2006/relationships/hyperlink" Target="https://registroviajeros.exteriores.gob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teriores.gob.es/Embajadas/manila/es/ViajarA/Paginas/Recomendaciones-de-viaj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pua.edu.ph/admissions/foreignstudentgu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pua.edu.ph/Academics/InternationalPrograms/Programs.aspx" TargetMode="External"/><Relationship Id="rId10" Type="http://schemas.openxmlformats.org/officeDocument/2006/relationships/hyperlink" Target="https://www.mapua.edu.ph/Academics/InternationalProgram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pua.edu.ph/Academics/InternationalPrograms/Progra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81wjvysbLCyr6dkuoY2RlrIHg==">AMUW2mXi01LQInp3g7DkTLmz3y8O7hHOQh3mW88QuwwUqjGkB3itgsu2AucwZfrchv6LNM3gRFsBRCUKpoOvSNvROGyLC/keOh0NLHtvQNvNP7NV5iw/K12g22ANIzUoktVCkD8C8AJo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clalvare</dc:creator>
  <cp:lastModifiedBy>MORENO PAVIA, MALENA</cp:lastModifiedBy>
  <cp:revision>2</cp:revision>
  <dcterms:created xsi:type="dcterms:W3CDTF">2023-04-24T11:24:00Z</dcterms:created>
  <dcterms:modified xsi:type="dcterms:W3CDTF">2023-04-24T11:24:00Z</dcterms:modified>
</cp:coreProperties>
</file>