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B9" w:rsidRDefault="00C53839">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5">
        <w:r>
          <w:rPr>
            <w:rFonts w:ascii="Verdana" w:eastAsia="Verdana" w:hAnsi="Verdana" w:cs="Verdana"/>
            <w:i/>
            <w:color w:val="1155CC"/>
            <w:sz w:val="16"/>
            <w:szCs w:val="16"/>
            <w:u w:val="single"/>
          </w:rPr>
          <w:t>mne@uc3m.es</w:t>
        </w:r>
      </w:hyperlink>
    </w:p>
    <w:p w:rsidR="004A3BB9" w:rsidRDefault="004A3BB9" w:rsidP="004C2D9A">
      <w:pPr>
        <w:widowControl w:val="0"/>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16"/>
          <w:szCs w:val="16"/>
        </w:rPr>
      </w:pPr>
    </w:p>
    <w:p w:rsidR="004A3BB9" w:rsidRDefault="00761142">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noProof/>
          <w:color w:val="000000"/>
          <w:sz w:val="26"/>
          <w:szCs w:val="26"/>
        </w:rPr>
        <w:drawing>
          <wp:anchor distT="0" distB="0" distL="114300" distR="114300" simplePos="0" relativeHeight="251658240" behindDoc="0" locked="0" layoutInCell="1" allowOverlap="1">
            <wp:simplePos x="0" y="0"/>
            <wp:positionH relativeFrom="margin">
              <wp:align>right</wp:align>
            </wp:positionH>
            <wp:positionV relativeFrom="paragraph">
              <wp:posOffset>67310</wp:posOffset>
            </wp:positionV>
            <wp:extent cx="3154382"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kayne_UCalgary_lockup_CMYK+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382" cy="809625"/>
                    </a:xfrm>
                    <a:prstGeom prst="rect">
                      <a:avLst/>
                    </a:prstGeom>
                  </pic:spPr>
                </pic:pic>
              </a:graphicData>
            </a:graphic>
            <wp14:sizeRelH relativeFrom="page">
              <wp14:pctWidth>0</wp14:pctWidth>
            </wp14:sizeRelH>
            <wp14:sizeRelV relativeFrom="page">
              <wp14:pctHeight>0</wp14:pctHeight>
            </wp14:sizeRelV>
          </wp:anchor>
        </w:drawing>
      </w:r>
      <w:r w:rsidR="00C53839">
        <w:rPr>
          <w:rFonts w:ascii="Verdana" w:eastAsia="Verdana" w:hAnsi="Verdana" w:cs="Verdana"/>
          <w:b/>
          <w:color w:val="000000"/>
          <w:sz w:val="26"/>
          <w:szCs w:val="26"/>
        </w:rPr>
        <w:t>UNIVERSITY</w:t>
      </w:r>
      <w:r w:rsidR="00C53839">
        <w:rPr>
          <w:rFonts w:ascii="Verdana" w:eastAsia="Verdana" w:hAnsi="Verdana" w:cs="Verdana"/>
          <w:color w:val="000000"/>
          <w:sz w:val="20"/>
          <w:szCs w:val="20"/>
        </w:rPr>
        <w:t xml:space="preserve"> </w:t>
      </w:r>
      <w:r w:rsidR="00C53839">
        <w:rPr>
          <w:rFonts w:ascii="Verdana" w:eastAsia="Verdana" w:hAnsi="Verdana" w:cs="Verdana"/>
          <w:b/>
          <w:color w:val="000000"/>
          <w:sz w:val="26"/>
          <w:szCs w:val="26"/>
        </w:rPr>
        <w:t xml:space="preserve">OF CALGARY                                         </w:t>
      </w:r>
    </w:p>
    <w:p w:rsidR="004A3BB9" w:rsidRDefault="00C53839">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Calgary, Canadá</w:t>
      </w:r>
    </w:p>
    <w:p w:rsidR="004A3BB9" w:rsidRDefault="004A3BB9">
      <w:pPr>
        <w:ind w:left="0" w:hanging="2"/>
        <w:rPr>
          <w:rFonts w:ascii="Verdana" w:eastAsia="Verdana" w:hAnsi="Verdana" w:cs="Verdana"/>
          <w:sz w:val="20"/>
          <w:szCs w:val="20"/>
        </w:rPr>
      </w:pPr>
    </w:p>
    <w:p w:rsidR="004A3BB9" w:rsidRDefault="004A3BB9">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bookmarkStart w:id="0" w:name="_GoBack"/>
      <w:bookmarkEnd w:id="0"/>
    </w:p>
    <w:p w:rsidR="004C2D9A" w:rsidRDefault="004C2D9A">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4C2D9A" w:rsidRDefault="004C2D9A">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4C2D9A" w:rsidRDefault="004C2D9A">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4A3BB9" w:rsidRDefault="00C53839">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Última actualización</w:t>
      </w:r>
      <w:r>
        <w:rPr>
          <w:rFonts w:ascii="Verdana" w:eastAsia="Verdana" w:hAnsi="Verdana" w:cs="Verdana"/>
          <w:i/>
          <w:sz w:val="18"/>
          <w:szCs w:val="18"/>
        </w:rPr>
        <w:t xml:space="preserve">: </w:t>
      </w:r>
      <w:r w:rsidR="00761142">
        <w:rPr>
          <w:rFonts w:ascii="Verdana" w:eastAsia="Verdana" w:hAnsi="Verdana" w:cs="Verdana"/>
          <w:i/>
          <w:sz w:val="18"/>
          <w:szCs w:val="18"/>
        </w:rPr>
        <w:t>junio</w:t>
      </w:r>
      <w:r w:rsidR="004C2D9A">
        <w:rPr>
          <w:rFonts w:ascii="Verdana" w:eastAsia="Verdana" w:hAnsi="Verdana" w:cs="Verdana"/>
          <w:i/>
          <w:sz w:val="18"/>
          <w:szCs w:val="18"/>
        </w:rPr>
        <w:t xml:space="preserve"> 202</w:t>
      </w:r>
      <w:r w:rsidR="007A3850">
        <w:rPr>
          <w:rFonts w:ascii="Verdana" w:eastAsia="Verdana" w:hAnsi="Verdana" w:cs="Verdana"/>
          <w:i/>
          <w:sz w:val="18"/>
          <w:szCs w:val="18"/>
        </w:rPr>
        <w:t>3</w:t>
      </w:r>
    </w:p>
    <w:tbl>
      <w:tblPr>
        <w:tblStyle w:val="a"/>
        <w:tblW w:w="10030"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47"/>
        <w:gridCol w:w="7483"/>
      </w:tblGrid>
      <w:tr w:rsidR="004A3BB9" w:rsidTr="004C2D9A">
        <w:trPr>
          <w:trHeight w:val="3068"/>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483" w:type="dxa"/>
            <w:tcBorders>
              <w:top w:val="single" w:sz="4" w:space="0" w:color="auto"/>
              <w:left w:val="single" w:sz="4" w:space="0" w:color="auto"/>
              <w:bottom w:val="single" w:sz="4" w:space="0" w:color="auto"/>
              <w:right w:val="single" w:sz="4" w:space="0" w:color="auto"/>
            </w:tcBorders>
          </w:tcPr>
          <w:p w:rsidR="005B1852" w:rsidRDefault="00C53839" w:rsidP="005B1852">
            <w:pPr>
              <w:spacing w:before="120" w:after="120"/>
              <w:ind w:left="0" w:hanging="2"/>
              <w:jc w:val="both"/>
              <w:rPr>
                <w:rFonts w:ascii="Verdana" w:eastAsia="Verdana" w:hAnsi="Verdana" w:cs="Verdana"/>
                <w:sz w:val="20"/>
                <w:szCs w:val="20"/>
              </w:rPr>
            </w:pPr>
            <w:r>
              <w:rPr>
                <w:rFonts w:ascii="Verdana" w:eastAsia="Verdana" w:hAnsi="Verdana" w:cs="Verdana"/>
                <w:color w:val="333333"/>
                <w:sz w:val="20"/>
                <w:szCs w:val="20"/>
                <w:highlight w:val="white"/>
              </w:rPr>
              <w:t xml:space="preserve">La </w:t>
            </w:r>
            <w:r w:rsidR="005B1852">
              <w:rPr>
                <w:rFonts w:ascii="Verdana" w:eastAsia="Verdana" w:hAnsi="Verdana" w:cs="Verdana"/>
                <w:color w:val="333333"/>
                <w:sz w:val="20"/>
                <w:szCs w:val="20"/>
                <w:highlight w:val="white"/>
              </w:rPr>
              <w:t>Universidad de Calgary</w:t>
            </w:r>
            <w:r>
              <w:rPr>
                <w:rFonts w:ascii="Verdana" w:eastAsia="Verdana" w:hAnsi="Verdana" w:cs="Verdana"/>
                <w:color w:val="333333"/>
                <w:sz w:val="20"/>
                <w:szCs w:val="20"/>
                <w:highlight w:val="white"/>
              </w:rPr>
              <w:t xml:space="preserve"> </w:t>
            </w:r>
            <w:r>
              <w:rPr>
                <w:rFonts w:ascii="Verdana" w:eastAsia="Verdana" w:hAnsi="Verdana" w:cs="Verdana"/>
                <w:sz w:val="20"/>
                <w:szCs w:val="20"/>
              </w:rPr>
              <w:t xml:space="preserve">es una universidad pública </w:t>
            </w:r>
            <w:r w:rsidR="005B1852">
              <w:rPr>
                <w:rFonts w:ascii="Verdana" w:eastAsia="Verdana" w:hAnsi="Verdana" w:cs="Verdana"/>
                <w:sz w:val="20"/>
                <w:szCs w:val="20"/>
              </w:rPr>
              <w:t xml:space="preserve">de investigación </w:t>
            </w:r>
            <w:r>
              <w:rPr>
                <w:rFonts w:ascii="Verdana" w:eastAsia="Verdana" w:hAnsi="Verdana" w:cs="Verdana"/>
                <w:sz w:val="20"/>
                <w:szCs w:val="20"/>
              </w:rPr>
              <w:t>fundada en 1966 en Calgary</w:t>
            </w:r>
            <w:r w:rsidR="005B1852">
              <w:rPr>
                <w:rFonts w:ascii="Verdana" w:eastAsia="Verdana" w:hAnsi="Verdana" w:cs="Verdana"/>
                <w:sz w:val="20"/>
                <w:szCs w:val="20"/>
              </w:rPr>
              <w:t xml:space="preserve"> (</w:t>
            </w:r>
            <w:r>
              <w:rPr>
                <w:rFonts w:ascii="Verdana" w:eastAsia="Verdana" w:hAnsi="Verdana" w:cs="Verdana"/>
                <w:sz w:val="20"/>
                <w:szCs w:val="20"/>
              </w:rPr>
              <w:t>Alberta</w:t>
            </w:r>
            <w:r w:rsidR="005B1852">
              <w:rPr>
                <w:rFonts w:ascii="Verdana" w:eastAsia="Verdana" w:hAnsi="Verdana" w:cs="Verdana"/>
                <w:sz w:val="20"/>
                <w:szCs w:val="20"/>
              </w:rPr>
              <w:t>)</w:t>
            </w:r>
            <w:r>
              <w:rPr>
                <w:rFonts w:ascii="Verdana" w:eastAsia="Verdana" w:hAnsi="Verdana" w:cs="Verdana"/>
                <w:sz w:val="20"/>
                <w:szCs w:val="20"/>
              </w:rPr>
              <w:t>. Cuenta con más de 25.000 alumnos de grado y 6.000 de postgrado.</w:t>
            </w:r>
            <w:r w:rsidR="005B1852">
              <w:rPr>
                <w:rFonts w:ascii="Verdana" w:eastAsia="Verdana" w:hAnsi="Verdana" w:cs="Verdana"/>
                <w:sz w:val="20"/>
                <w:szCs w:val="20"/>
              </w:rPr>
              <w:t xml:space="preserve"> Además, recibe numerosos estudiantes internacionales de más de 130 países. La universidad está compuesta por 14 facultades y más de 85 institutos y centros de investigación.</w:t>
            </w:r>
          </w:p>
          <w:p w:rsidR="005B1852" w:rsidRPr="005B1852" w:rsidRDefault="00C53839" w:rsidP="005B1852">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En el año 2015, el QS </w:t>
            </w:r>
            <w:proofErr w:type="spellStart"/>
            <w:r>
              <w:rPr>
                <w:rFonts w:ascii="Verdana" w:eastAsia="Verdana" w:hAnsi="Verdana" w:cs="Verdana"/>
                <w:sz w:val="20"/>
                <w:szCs w:val="20"/>
              </w:rPr>
              <w:t>World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University</w:t>
            </w:r>
            <w:proofErr w:type="spellEnd"/>
            <w:r>
              <w:rPr>
                <w:rFonts w:ascii="Verdana" w:eastAsia="Verdana" w:hAnsi="Verdana" w:cs="Verdana"/>
                <w:sz w:val="20"/>
                <w:szCs w:val="20"/>
              </w:rPr>
              <w:t xml:space="preserve"> Ranking identificó a la Universidad de Calgary como la mejor universidad canadiense con menos de 50 años de trayectoria</w:t>
            </w:r>
            <w:r w:rsidR="005B1852">
              <w:rPr>
                <w:rFonts w:ascii="Verdana" w:eastAsia="Verdana" w:hAnsi="Verdana" w:cs="Verdana"/>
                <w:sz w:val="20"/>
                <w:szCs w:val="20"/>
              </w:rPr>
              <w:t xml:space="preserve">. Se sitúa en el puesto 242 de mejores universidades del mundo según el ranking QS 2023. </w:t>
            </w:r>
          </w:p>
        </w:tc>
      </w:tr>
      <w:tr w:rsidR="004A3BB9" w:rsidTr="004C2D9A">
        <w:trPr>
          <w:trHeight w:val="593"/>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483" w:type="dxa"/>
            <w:tcBorders>
              <w:top w:val="single" w:sz="4" w:space="0" w:color="auto"/>
              <w:left w:val="single" w:sz="4" w:space="0" w:color="auto"/>
              <w:bottom w:val="single" w:sz="4" w:space="0" w:color="auto"/>
              <w:right w:val="single" w:sz="4" w:space="0" w:color="auto"/>
            </w:tcBorders>
          </w:tcPr>
          <w:p w:rsidR="004A3BB9" w:rsidRPr="005B1852" w:rsidRDefault="00761142">
            <w:pPr>
              <w:spacing w:before="120" w:after="120"/>
              <w:ind w:left="0" w:hanging="2"/>
              <w:jc w:val="both"/>
              <w:rPr>
                <w:rFonts w:ascii="Verdana" w:eastAsia="Verdana" w:hAnsi="Verdana" w:cs="Verdana"/>
                <w:color w:val="0000FF"/>
                <w:sz w:val="20"/>
                <w:szCs w:val="20"/>
              </w:rPr>
            </w:pPr>
            <w:hyperlink r:id="rId7" w:history="1">
              <w:r w:rsidR="005B1852" w:rsidRPr="005B1852">
                <w:rPr>
                  <w:rStyle w:val="Hipervnculo"/>
                  <w:rFonts w:ascii="Verdana" w:hAnsi="Verdana"/>
                  <w:sz w:val="20"/>
                  <w:szCs w:val="20"/>
                </w:rPr>
                <w:t>https://www.ucalgary.ca/</w:t>
              </w:r>
            </w:hyperlink>
            <w:r w:rsidR="005B1852" w:rsidRPr="005B1852">
              <w:rPr>
                <w:rFonts w:ascii="Verdana" w:hAnsi="Verdana"/>
                <w:sz w:val="20"/>
                <w:szCs w:val="20"/>
              </w:rPr>
              <w:t xml:space="preserve"> </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483" w:type="dxa"/>
            <w:tcBorders>
              <w:top w:val="single" w:sz="4" w:space="0" w:color="auto"/>
              <w:left w:val="single" w:sz="4" w:space="0" w:color="auto"/>
              <w:bottom w:val="single" w:sz="4" w:space="0" w:color="auto"/>
              <w:right w:val="single" w:sz="4" w:space="0" w:color="auto"/>
            </w:tcBorders>
          </w:tcPr>
          <w:p w:rsidR="004A3BB9" w:rsidRPr="005B1852" w:rsidRDefault="00761142" w:rsidP="005B1852">
            <w:pPr>
              <w:spacing w:before="120" w:after="120"/>
              <w:ind w:left="0" w:hanging="2"/>
              <w:jc w:val="both"/>
              <w:rPr>
                <w:rFonts w:ascii="Verdana" w:hAnsi="Verdana"/>
                <w:sz w:val="20"/>
                <w:szCs w:val="20"/>
              </w:rPr>
            </w:pPr>
            <w:hyperlink r:id="rId8" w:history="1">
              <w:r w:rsidR="005B1852" w:rsidRPr="005B1852">
                <w:rPr>
                  <w:rStyle w:val="Hipervnculo"/>
                  <w:rFonts w:ascii="Verdana" w:hAnsi="Verdana"/>
                  <w:sz w:val="20"/>
                  <w:szCs w:val="20"/>
                </w:rPr>
                <w:t>https://www.ucalgary.ca/future-students/undergraduate/international-students</w:t>
              </w:r>
            </w:hyperlink>
            <w:r w:rsidR="005B1852" w:rsidRPr="005B1852">
              <w:rPr>
                <w:rFonts w:ascii="Verdana" w:hAnsi="Verdana"/>
                <w:sz w:val="20"/>
                <w:szCs w:val="20"/>
              </w:rPr>
              <w:t xml:space="preserve"> </w:t>
            </w:r>
          </w:p>
          <w:p w:rsidR="005B1852" w:rsidRPr="005B1852" w:rsidRDefault="00761142" w:rsidP="005B1852">
            <w:pPr>
              <w:spacing w:before="120" w:after="120"/>
              <w:ind w:left="0" w:hanging="2"/>
              <w:jc w:val="both"/>
              <w:rPr>
                <w:rFonts w:ascii="Verdana" w:hAnsi="Verdana"/>
                <w:sz w:val="20"/>
                <w:szCs w:val="20"/>
              </w:rPr>
            </w:pPr>
            <w:hyperlink r:id="rId9" w:history="1">
              <w:r w:rsidR="005B1852" w:rsidRPr="005B1852">
                <w:rPr>
                  <w:rStyle w:val="Hipervnculo"/>
                  <w:rFonts w:ascii="Verdana" w:hAnsi="Verdana"/>
                  <w:sz w:val="20"/>
                  <w:szCs w:val="20"/>
                </w:rPr>
                <w:t>https://ucalgary.ca/student-services/iss</w:t>
              </w:r>
            </w:hyperlink>
            <w:r w:rsidR="005B1852" w:rsidRPr="005B1852">
              <w:rPr>
                <w:rFonts w:ascii="Verdana" w:hAnsi="Verdana"/>
                <w:sz w:val="20"/>
                <w:szCs w:val="20"/>
              </w:rPr>
              <w:t xml:space="preserve"> </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483" w:type="dxa"/>
            <w:tcBorders>
              <w:top w:val="single" w:sz="4" w:space="0" w:color="auto"/>
              <w:left w:val="single" w:sz="4" w:space="0" w:color="auto"/>
              <w:bottom w:val="single" w:sz="4" w:space="0" w:color="auto"/>
              <w:right w:val="single" w:sz="4" w:space="0" w:color="auto"/>
            </w:tcBorders>
          </w:tcPr>
          <w:p w:rsidR="004A3BB9" w:rsidRPr="005B1852" w:rsidRDefault="00C53839" w:rsidP="005B1852">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Consulta las bases de la Convocatoria MNE de cada año en la página de movilidad en tu </w:t>
            </w:r>
            <w:r>
              <w:rPr>
                <w:rFonts w:ascii="Verdana" w:eastAsia="Verdana" w:hAnsi="Verdana" w:cs="Verdana"/>
                <w:b/>
                <w:color w:val="000000"/>
                <w:sz w:val="20"/>
                <w:szCs w:val="20"/>
              </w:rPr>
              <w:t>Secretaría Virtual.</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483" w:type="dxa"/>
            <w:tcBorders>
              <w:top w:val="single" w:sz="4" w:space="0" w:color="auto"/>
              <w:left w:val="single" w:sz="4" w:space="0" w:color="auto"/>
              <w:bottom w:val="single" w:sz="4" w:space="0" w:color="auto"/>
              <w:right w:val="single" w:sz="4" w:space="0" w:color="auto"/>
            </w:tcBorders>
          </w:tcPr>
          <w:p w:rsidR="004A3BB9" w:rsidRPr="005B1852" w:rsidRDefault="00C53839" w:rsidP="005B1852">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Consulta las bases de la Convocatoria MNE de cada año en la página de movilidad en tu </w:t>
            </w:r>
            <w:r>
              <w:rPr>
                <w:rFonts w:ascii="Verdana" w:eastAsia="Verdana" w:hAnsi="Verdana" w:cs="Verdana"/>
                <w:b/>
                <w:color w:val="000000"/>
                <w:sz w:val="20"/>
                <w:szCs w:val="20"/>
              </w:rPr>
              <w:t>Secretaría Virtual.</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483"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Inglés.</w:t>
            </w:r>
          </w:p>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p>
        </w:tc>
      </w:tr>
      <w:tr w:rsidR="004A3BB9" w:rsidTr="007A3850">
        <w:trPr>
          <w:trHeight w:val="699"/>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483"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las fechas límite establecidas por la Universidad de destino para el envío de toda la documentación necesaria. Las fechas suelen cambiar cada año.</w:t>
            </w:r>
          </w:p>
          <w:p w:rsidR="004A3BB9" w:rsidRDefault="00C53839">
            <w:pPr>
              <w:spacing w:before="120" w:after="120"/>
              <w:ind w:left="0" w:hanging="2"/>
              <w:jc w:val="both"/>
              <w:rPr>
                <w:rFonts w:ascii="Verdana" w:eastAsia="Verdana" w:hAnsi="Verdana" w:cs="Verdana"/>
                <w:sz w:val="20"/>
                <w:szCs w:val="20"/>
              </w:rPr>
            </w:pPr>
            <w:proofErr w:type="spellStart"/>
            <w:r>
              <w:rPr>
                <w:rFonts w:ascii="Verdana" w:eastAsia="Verdana" w:hAnsi="Verdana" w:cs="Verdana"/>
                <w:b/>
                <w:sz w:val="20"/>
                <w:szCs w:val="20"/>
              </w:rPr>
              <w:t>Fall</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semester</w:t>
            </w:r>
            <w:proofErr w:type="spellEnd"/>
            <w:r>
              <w:rPr>
                <w:rFonts w:ascii="Verdana" w:eastAsia="Verdana" w:hAnsi="Verdana" w:cs="Verdana"/>
                <w:sz w:val="20"/>
                <w:szCs w:val="20"/>
              </w:rPr>
              <w:t>: Septiembre</w:t>
            </w:r>
          </w:p>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Spring </w:t>
            </w:r>
            <w:proofErr w:type="spellStart"/>
            <w:r>
              <w:rPr>
                <w:rFonts w:ascii="Verdana" w:eastAsia="Verdana" w:hAnsi="Verdana" w:cs="Verdana"/>
                <w:b/>
                <w:sz w:val="20"/>
                <w:szCs w:val="20"/>
              </w:rPr>
              <w:t>semester</w:t>
            </w:r>
            <w:proofErr w:type="spellEnd"/>
            <w:r>
              <w:rPr>
                <w:rFonts w:ascii="Verdana" w:eastAsia="Verdana" w:hAnsi="Verdana" w:cs="Verdana"/>
                <w:sz w:val="20"/>
                <w:szCs w:val="20"/>
              </w:rPr>
              <w:t>: Febrero</w:t>
            </w:r>
          </w:p>
          <w:p w:rsidR="004A3BB9" w:rsidRPr="00AD1F03" w:rsidRDefault="00761142" w:rsidP="00AD1F03">
            <w:pPr>
              <w:spacing w:before="120" w:after="120"/>
              <w:ind w:left="0" w:hanging="2"/>
              <w:jc w:val="both"/>
              <w:rPr>
                <w:rFonts w:ascii="Verdana" w:eastAsia="Verdana" w:hAnsi="Verdana" w:cs="Verdana"/>
                <w:sz w:val="20"/>
                <w:szCs w:val="20"/>
              </w:rPr>
            </w:pPr>
            <w:hyperlink r:id="rId10" w:history="1">
              <w:r w:rsidR="00C53839" w:rsidRPr="008B4849">
                <w:rPr>
                  <w:rStyle w:val="Hipervnculo"/>
                  <w:rFonts w:ascii="Verdana" w:eastAsia="Verdana" w:hAnsi="Verdana" w:cs="Verdana"/>
                  <w:sz w:val="20"/>
                  <w:szCs w:val="20"/>
                </w:rPr>
                <w:t>https://www.ucalgary.ca/future-students/undergraduate/how-apply/dates</w:t>
              </w:r>
            </w:hyperlink>
            <w:r w:rsidR="00C53839">
              <w:rPr>
                <w:rFonts w:ascii="Verdana" w:eastAsia="Verdana" w:hAnsi="Verdana" w:cs="Verdana"/>
                <w:sz w:val="20"/>
                <w:szCs w:val="20"/>
              </w:rPr>
              <w:t xml:space="preserve"> </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483" w:type="dxa"/>
            <w:tcBorders>
              <w:top w:val="single" w:sz="4" w:space="0" w:color="auto"/>
              <w:left w:val="single" w:sz="4" w:space="0" w:color="auto"/>
              <w:bottom w:val="single" w:sz="4" w:space="0" w:color="auto"/>
              <w:right w:val="single" w:sz="4" w:space="0" w:color="auto"/>
            </w:tcBorders>
          </w:tcPr>
          <w:p w:rsidR="004A3BB9" w:rsidRDefault="00C53839">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roofErr w:type="spellStart"/>
            <w:r>
              <w:rPr>
                <w:rFonts w:ascii="Verdana" w:eastAsia="Verdana" w:hAnsi="Verdana" w:cs="Verdana"/>
                <w:b/>
                <w:color w:val="000000"/>
                <w:sz w:val="20"/>
                <w:szCs w:val="20"/>
              </w:rPr>
              <w:t>Fall</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semester</w:t>
            </w:r>
            <w:proofErr w:type="spellEnd"/>
            <w:r>
              <w:rPr>
                <w:rFonts w:ascii="Verdana" w:eastAsia="Verdana" w:hAnsi="Verdana" w:cs="Verdana"/>
                <w:color w:val="000000"/>
                <w:sz w:val="20"/>
                <w:szCs w:val="20"/>
              </w:rPr>
              <w:t xml:space="preserve"> – septiembre a diciembre</w:t>
            </w:r>
          </w:p>
          <w:p w:rsidR="004A3BB9" w:rsidRDefault="00C53839">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Spring </w:t>
            </w:r>
            <w:proofErr w:type="spellStart"/>
            <w:r>
              <w:rPr>
                <w:rFonts w:ascii="Verdana" w:eastAsia="Verdana" w:hAnsi="Verdana" w:cs="Verdana"/>
                <w:b/>
                <w:color w:val="000000"/>
                <w:sz w:val="20"/>
                <w:szCs w:val="20"/>
              </w:rPr>
              <w:t>Semester</w:t>
            </w:r>
            <w:proofErr w:type="spellEnd"/>
            <w:r>
              <w:rPr>
                <w:rFonts w:ascii="Verdana" w:eastAsia="Verdana" w:hAnsi="Verdana" w:cs="Verdana"/>
                <w:b/>
                <w:color w:val="000000"/>
                <w:sz w:val="20"/>
                <w:szCs w:val="20"/>
              </w:rPr>
              <w:t>-</w:t>
            </w:r>
            <w:r>
              <w:rPr>
                <w:rFonts w:ascii="Verdana" w:eastAsia="Verdana" w:hAnsi="Verdana" w:cs="Verdana"/>
                <w:color w:val="000000"/>
                <w:sz w:val="20"/>
                <w:szCs w:val="20"/>
              </w:rPr>
              <w:t xml:space="preserve"> enero a abril</w:t>
            </w:r>
          </w:p>
          <w:p w:rsidR="004A3BB9" w:rsidRDefault="00761142">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highlight w:val="yellow"/>
              </w:rPr>
            </w:pPr>
            <w:hyperlink r:id="rId11">
              <w:r w:rsidR="00C53839">
                <w:rPr>
                  <w:rFonts w:ascii="Verdana" w:eastAsia="Verdana" w:hAnsi="Verdana" w:cs="Verdana"/>
                  <w:color w:val="0000FF"/>
                  <w:sz w:val="20"/>
                  <w:szCs w:val="20"/>
                  <w:u w:val="single"/>
                </w:rPr>
                <w:t>http://www.ucalgary.ca/pubs/calendar/current/academic-schedule.html</w:t>
              </w:r>
            </w:hyperlink>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483"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sz w:val="20"/>
                <w:szCs w:val="20"/>
              </w:rPr>
              <w:t>Información sobre la oferta de cursos:</w:t>
            </w:r>
          </w:p>
          <w:p w:rsidR="004A3BB9" w:rsidRDefault="00761142">
            <w:pPr>
              <w:spacing w:before="120" w:after="120"/>
              <w:ind w:left="0" w:hanging="2"/>
              <w:jc w:val="both"/>
              <w:rPr>
                <w:rFonts w:ascii="Verdana" w:eastAsia="Verdana" w:hAnsi="Verdana" w:cs="Verdana"/>
                <w:sz w:val="20"/>
                <w:szCs w:val="20"/>
              </w:rPr>
            </w:pPr>
            <w:hyperlink r:id="rId12">
              <w:r w:rsidR="00C53839">
                <w:rPr>
                  <w:rFonts w:ascii="Verdana" w:eastAsia="Verdana" w:hAnsi="Verdana" w:cs="Verdana"/>
                  <w:color w:val="0000FF"/>
                  <w:sz w:val="20"/>
                  <w:szCs w:val="20"/>
                  <w:u w:val="single"/>
                </w:rPr>
                <w:t>http://www.ucalgary.ca/pubs/calendar/current/course-desc-main.html</w:t>
              </w:r>
            </w:hyperlink>
          </w:p>
          <w:p w:rsidR="004A3BB9" w:rsidRPr="00AD1F03" w:rsidRDefault="00C53839" w:rsidP="00AD1F03">
            <w:pPr>
              <w:spacing w:before="120" w:after="120"/>
              <w:ind w:leftChars="0" w:left="0" w:firstLineChars="0" w:firstLine="0"/>
              <w:jc w:val="both"/>
              <w:rPr>
                <w:rFonts w:ascii="Verdana" w:hAnsi="Verdana"/>
                <w:sz w:val="20"/>
                <w:szCs w:val="20"/>
              </w:rPr>
            </w:pPr>
            <w:r w:rsidRPr="00AD1F03">
              <w:rPr>
                <w:rFonts w:ascii="Verdana" w:hAnsi="Verdana"/>
                <w:sz w:val="20"/>
                <w:szCs w:val="20"/>
              </w:rPr>
              <w:t xml:space="preserve">Esta universidad no permite matricularse en clases cuyos horarios coincidan, aunque solo coincidan unos minutos, el sistema de matriculación evita esto automáticamente con lo cual no hay posibilidad de hacer excepciones. </w:t>
            </w:r>
          </w:p>
          <w:p w:rsidR="004A3BB9" w:rsidRDefault="00C53839">
            <w:pPr>
              <w:spacing w:before="120" w:after="120"/>
              <w:ind w:left="0" w:hanging="2"/>
              <w:jc w:val="both"/>
            </w:pPr>
            <w:r w:rsidRPr="00AD1F03">
              <w:rPr>
                <w:rFonts w:ascii="Verdana" w:hAnsi="Verdana"/>
                <w:sz w:val="20"/>
                <w:szCs w:val="20"/>
              </w:rPr>
              <w:t>No importa si esta superposición de horarios se da entre dos clases, o entre clase y tutoría, laboratorio, seminario…</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483" w:type="dxa"/>
            <w:tcBorders>
              <w:top w:val="single" w:sz="4" w:space="0" w:color="auto"/>
              <w:left w:val="single" w:sz="4" w:space="0" w:color="auto"/>
              <w:bottom w:val="single" w:sz="4" w:space="0" w:color="auto"/>
              <w:right w:val="single" w:sz="4" w:space="0" w:color="auto"/>
            </w:tcBorders>
          </w:tcPr>
          <w:p w:rsidR="004A3BB9" w:rsidRDefault="005B1852">
            <w:pPr>
              <w:spacing w:before="120" w:after="120"/>
              <w:ind w:left="0" w:hanging="2"/>
              <w:jc w:val="both"/>
              <w:rPr>
                <w:rFonts w:ascii="Verdana" w:eastAsia="Verdana" w:hAnsi="Verdana" w:cs="Verdana"/>
                <w:sz w:val="20"/>
                <w:szCs w:val="20"/>
              </w:rPr>
            </w:pPr>
            <w:r>
              <w:rPr>
                <w:rFonts w:ascii="Verdana" w:eastAsia="Verdana" w:hAnsi="Verdana" w:cs="Verdana"/>
                <w:sz w:val="20"/>
                <w:szCs w:val="20"/>
              </w:rPr>
              <w:t>Posibles opciones</w:t>
            </w:r>
            <w:r w:rsidR="00C53839">
              <w:rPr>
                <w:rFonts w:ascii="Verdana" w:eastAsia="Verdana" w:hAnsi="Verdana" w:cs="Verdana"/>
                <w:sz w:val="20"/>
                <w:szCs w:val="20"/>
              </w:rPr>
              <w:t xml:space="preserve"> para alojarse en Calgary:</w:t>
            </w:r>
          </w:p>
          <w:p w:rsidR="005B1852" w:rsidRPr="005B1852" w:rsidRDefault="00761142">
            <w:pPr>
              <w:spacing w:before="120" w:after="120"/>
              <w:ind w:left="0" w:hanging="2"/>
              <w:jc w:val="both"/>
              <w:rPr>
                <w:rFonts w:ascii="Verdana" w:hAnsi="Verdana"/>
                <w:sz w:val="20"/>
                <w:szCs w:val="20"/>
              </w:rPr>
            </w:pPr>
            <w:hyperlink r:id="rId13" w:history="1">
              <w:r w:rsidR="005B1852" w:rsidRPr="005B1852">
                <w:rPr>
                  <w:rStyle w:val="Hipervnculo"/>
                  <w:rFonts w:ascii="Verdana" w:hAnsi="Verdana"/>
                  <w:sz w:val="20"/>
                  <w:szCs w:val="20"/>
                </w:rPr>
                <w:t>https://www.ucalgary.ca/student-services/iss/settling-calgary/housing</w:t>
              </w:r>
            </w:hyperlink>
            <w:r w:rsidR="005B1852" w:rsidRPr="005B1852">
              <w:rPr>
                <w:rFonts w:ascii="Verdana" w:hAnsi="Verdana"/>
                <w:sz w:val="20"/>
                <w:szCs w:val="20"/>
              </w:rPr>
              <w:t xml:space="preserve"> </w:t>
            </w:r>
          </w:p>
          <w:p w:rsidR="004A3BB9" w:rsidRDefault="00C53839">
            <w:pPr>
              <w:spacing w:before="120" w:after="120"/>
              <w:ind w:left="0" w:hanging="2"/>
              <w:jc w:val="both"/>
              <w:rPr>
                <w:rFonts w:ascii="Verdana" w:eastAsia="Verdana" w:hAnsi="Verdana" w:cs="Verdana"/>
                <w:color w:val="FF0000"/>
                <w:sz w:val="20"/>
                <w:szCs w:val="20"/>
              </w:rPr>
            </w:pPr>
            <w:r w:rsidRPr="005B1852">
              <w:rPr>
                <w:rFonts w:ascii="Verdana" w:eastAsia="Verdana" w:hAnsi="Verdana" w:cs="Verdana"/>
                <w:sz w:val="20"/>
                <w:szCs w:val="20"/>
              </w:rPr>
              <w:t xml:space="preserve">Se recomienda al alumno solicitar alojamiento en cuanto se abra el plazo, la residencia </w:t>
            </w:r>
            <w:r w:rsidR="00AD1F03">
              <w:rPr>
                <w:rFonts w:ascii="Verdana" w:eastAsia="Verdana" w:hAnsi="Verdana" w:cs="Verdana"/>
                <w:sz w:val="20"/>
                <w:szCs w:val="20"/>
              </w:rPr>
              <w:t xml:space="preserve">universitaria </w:t>
            </w:r>
            <w:r w:rsidRPr="005B1852">
              <w:rPr>
                <w:rFonts w:ascii="Verdana" w:eastAsia="Verdana" w:hAnsi="Verdana" w:cs="Verdana"/>
                <w:sz w:val="20"/>
                <w:szCs w:val="20"/>
              </w:rPr>
              <w:t xml:space="preserve">está muy demandada.  </w:t>
            </w:r>
          </w:p>
          <w:p w:rsidR="005B1852" w:rsidRPr="005B1852" w:rsidRDefault="00761142">
            <w:pPr>
              <w:spacing w:before="120" w:after="120"/>
              <w:ind w:left="0" w:hanging="2"/>
              <w:jc w:val="both"/>
              <w:rPr>
                <w:rFonts w:ascii="Verdana" w:hAnsi="Verdana"/>
                <w:sz w:val="20"/>
                <w:szCs w:val="20"/>
              </w:rPr>
            </w:pPr>
            <w:hyperlink r:id="rId14" w:history="1">
              <w:r w:rsidR="005B1852" w:rsidRPr="005B1852">
                <w:rPr>
                  <w:rStyle w:val="Hipervnculo"/>
                  <w:rFonts w:ascii="Verdana" w:hAnsi="Verdana"/>
                  <w:sz w:val="20"/>
                  <w:szCs w:val="20"/>
                </w:rPr>
                <w:t>https://www.ucalgary.ca/student-services/iss/settling-calgary/housing/campus-housing</w:t>
              </w:r>
            </w:hyperlink>
            <w:r w:rsidR="005B1852" w:rsidRPr="005B1852">
              <w:rPr>
                <w:rFonts w:ascii="Verdana" w:hAnsi="Verdana"/>
                <w:sz w:val="20"/>
                <w:szCs w:val="20"/>
              </w:rPr>
              <w:t xml:space="preserve"> (</w:t>
            </w:r>
            <w:proofErr w:type="spellStart"/>
            <w:r w:rsidR="005B1852" w:rsidRPr="005B1852">
              <w:rPr>
                <w:rFonts w:ascii="Verdana" w:hAnsi="Verdana"/>
                <w:sz w:val="20"/>
                <w:szCs w:val="20"/>
              </w:rPr>
              <w:t>On</w:t>
            </w:r>
            <w:proofErr w:type="spellEnd"/>
            <w:r w:rsidR="005B1852" w:rsidRPr="005B1852">
              <w:rPr>
                <w:rFonts w:ascii="Verdana" w:hAnsi="Verdana"/>
                <w:sz w:val="20"/>
                <w:szCs w:val="20"/>
              </w:rPr>
              <w:t>-Campus)</w:t>
            </w:r>
          </w:p>
          <w:p w:rsidR="004A3BB9" w:rsidRPr="005B1852" w:rsidRDefault="00761142" w:rsidP="005B1852">
            <w:pPr>
              <w:spacing w:before="120" w:after="120"/>
              <w:ind w:left="0" w:hanging="2"/>
              <w:jc w:val="both"/>
            </w:pPr>
            <w:hyperlink r:id="rId15" w:history="1">
              <w:r w:rsidR="005B1852" w:rsidRPr="005B1852">
                <w:rPr>
                  <w:rStyle w:val="Hipervnculo"/>
                  <w:rFonts w:ascii="Verdana" w:hAnsi="Verdana"/>
                  <w:sz w:val="20"/>
                  <w:szCs w:val="20"/>
                </w:rPr>
                <w:t>https://www.ucalgary.ca/student-services/iss/settling-calgary/housing/off-campus-housing</w:t>
              </w:r>
            </w:hyperlink>
            <w:r w:rsidR="005B1852" w:rsidRPr="005B1852">
              <w:rPr>
                <w:rFonts w:ascii="Verdana" w:hAnsi="Verdana"/>
                <w:sz w:val="20"/>
                <w:szCs w:val="20"/>
              </w:rPr>
              <w:t xml:space="preserve"> (Off-Campus)</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483" w:type="dxa"/>
            <w:tcBorders>
              <w:top w:val="single" w:sz="4" w:space="0" w:color="auto"/>
              <w:left w:val="single" w:sz="4" w:space="0" w:color="auto"/>
              <w:bottom w:val="single" w:sz="4" w:space="0" w:color="auto"/>
              <w:right w:val="single" w:sz="4" w:space="0" w:color="auto"/>
            </w:tcBorders>
          </w:tcPr>
          <w:p w:rsidR="004A3BB9" w:rsidRDefault="00AD1F03">
            <w:pPr>
              <w:spacing w:before="120" w:after="120"/>
              <w:ind w:left="0" w:hanging="2"/>
              <w:jc w:val="both"/>
              <w:rPr>
                <w:rFonts w:ascii="Verdana" w:eastAsia="Verdana" w:hAnsi="Verdana" w:cs="Verdana"/>
                <w:sz w:val="20"/>
                <w:szCs w:val="20"/>
              </w:rPr>
            </w:pPr>
            <w:r>
              <w:rPr>
                <w:rFonts w:ascii="Verdana" w:eastAsia="Verdana" w:hAnsi="Verdana" w:cs="Verdana"/>
                <w:sz w:val="20"/>
                <w:szCs w:val="20"/>
              </w:rPr>
              <w:t>Es fundamental que todos los estudiantes internacionales contraten un seguro médico</w:t>
            </w:r>
            <w:r w:rsidR="00C53839">
              <w:rPr>
                <w:rFonts w:ascii="Verdana" w:eastAsia="Verdana" w:hAnsi="Verdana" w:cs="Verdana"/>
                <w:sz w:val="20"/>
                <w:szCs w:val="20"/>
              </w:rPr>
              <w:t>. En caso de no ser contratado el alumno deberá correr con todos los gastos que se deriven de un posible tratamiento</w:t>
            </w:r>
            <w:r>
              <w:rPr>
                <w:rFonts w:ascii="Verdana" w:eastAsia="Verdana" w:hAnsi="Verdana" w:cs="Verdana"/>
                <w:sz w:val="20"/>
                <w:szCs w:val="20"/>
              </w:rPr>
              <w:t xml:space="preserve">, que son muy costosos. </w:t>
            </w:r>
          </w:p>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sz w:val="20"/>
                <w:szCs w:val="20"/>
              </w:rPr>
              <w:t>En caso de obtener un “Permiso de Estudiantes” para al menos 12 meses el alumno podrá disfrutar de una cobertura médica básica al igual que todos los ciudadanos de Alberta.</w:t>
            </w:r>
          </w:p>
          <w:p w:rsidR="004A3BB9" w:rsidRDefault="00C53839">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Para más información: </w:t>
            </w:r>
          </w:p>
          <w:p w:rsidR="004A3BB9" w:rsidRDefault="00761142" w:rsidP="00AD1F03">
            <w:pPr>
              <w:spacing w:before="120" w:after="120"/>
              <w:ind w:left="0" w:hanging="2"/>
              <w:jc w:val="both"/>
              <w:rPr>
                <w:rFonts w:ascii="Verdana" w:eastAsia="Verdana" w:hAnsi="Verdana" w:cs="Verdana"/>
                <w:sz w:val="20"/>
                <w:szCs w:val="20"/>
              </w:rPr>
            </w:pPr>
            <w:hyperlink r:id="rId16" w:history="1">
              <w:r w:rsidR="00AD1F03" w:rsidRPr="008B4849">
                <w:rPr>
                  <w:rStyle w:val="Hipervnculo"/>
                  <w:rFonts w:ascii="Verdana" w:eastAsia="Verdana" w:hAnsi="Verdana" w:cs="Verdana"/>
                  <w:sz w:val="20"/>
                  <w:szCs w:val="20"/>
                </w:rPr>
                <w:t>https://www.ucalgary.ca/student-services/iss-old/resources/medical-insurance</w:t>
              </w:r>
            </w:hyperlink>
            <w:r w:rsidR="00AD1F03">
              <w:rPr>
                <w:rFonts w:ascii="Verdana" w:eastAsia="Verdana" w:hAnsi="Verdana" w:cs="Verdana"/>
                <w:sz w:val="20"/>
                <w:szCs w:val="20"/>
              </w:rPr>
              <w:t xml:space="preserve"> </w:t>
            </w:r>
          </w:p>
        </w:tc>
      </w:tr>
      <w:tr w:rsidR="004A3BB9" w:rsidTr="004C2D9A">
        <w:trPr>
          <w:trHeight w:val="1021"/>
        </w:trPr>
        <w:tc>
          <w:tcPr>
            <w:tcW w:w="2547" w:type="dxa"/>
            <w:tcBorders>
              <w:top w:val="single" w:sz="4" w:space="0" w:color="auto"/>
              <w:left w:val="single" w:sz="4" w:space="0" w:color="auto"/>
              <w:bottom w:val="single" w:sz="4" w:space="0" w:color="auto"/>
              <w:right w:val="single" w:sz="4" w:space="0" w:color="auto"/>
            </w:tcBorders>
          </w:tcPr>
          <w:p w:rsidR="004A3BB9" w:rsidRDefault="00C5383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483" w:type="dxa"/>
            <w:tcBorders>
              <w:top w:val="single" w:sz="4" w:space="0" w:color="auto"/>
              <w:left w:val="single" w:sz="4" w:space="0" w:color="auto"/>
              <w:bottom w:val="single" w:sz="4" w:space="0" w:color="auto"/>
              <w:right w:val="single" w:sz="4" w:space="0" w:color="auto"/>
            </w:tcBorders>
          </w:tcPr>
          <w:p w:rsidR="004A3BB9" w:rsidRDefault="004C2D9A">
            <w:pPr>
              <w:spacing w:before="120" w:after="120"/>
              <w:ind w:left="0" w:hanging="2"/>
              <w:jc w:val="both"/>
              <w:rPr>
                <w:rFonts w:ascii="Verdana" w:eastAsia="Verdana" w:hAnsi="Verdana" w:cs="Verdana"/>
                <w:sz w:val="20"/>
                <w:szCs w:val="20"/>
              </w:rPr>
            </w:pPr>
            <w:r>
              <w:rPr>
                <w:rFonts w:ascii="Verdana" w:eastAsia="Verdana" w:hAnsi="Verdana" w:cs="Verdana"/>
                <w:sz w:val="20"/>
                <w:szCs w:val="20"/>
              </w:rPr>
              <w:t>Aconsejamos</w:t>
            </w:r>
            <w:r w:rsidR="00C53839">
              <w:rPr>
                <w:rFonts w:ascii="Verdana" w:eastAsia="Verdana" w:hAnsi="Verdana" w:cs="Verdana"/>
                <w:sz w:val="20"/>
                <w:szCs w:val="20"/>
              </w:rPr>
              <w:t xml:space="preserve"> encarecidamente a los estudiantes consultar las recomendaciones de viaje que ofrece el Ministerio de Asuntos Exteriores y Cooperació</w:t>
            </w:r>
            <w:r>
              <w:rPr>
                <w:rFonts w:ascii="Verdana" w:eastAsia="Verdana" w:hAnsi="Verdana" w:cs="Verdana"/>
                <w:sz w:val="20"/>
                <w:szCs w:val="20"/>
              </w:rPr>
              <w:t>n.</w:t>
            </w:r>
          </w:p>
          <w:p w:rsidR="004A3BB9" w:rsidRPr="00AD1F03" w:rsidRDefault="00761142" w:rsidP="00AD1F03">
            <w:pPr>
              <w:spacing w:before="120" w:after="120"/>
              <w:ind w:left="0" w:hanging="2"/>
              <w:jc w:val="both"/>
              <w:rPr>
                <w:rFonts w:ascii="Verdana" w:eastAsia="Verdana" w:hAnsi="Verdana" w:cs="Verdana"/>
                <w:sz w:val="20"/>
                <w:szCs w:val="20"/>
              </w:rPr>
            </w:pPr>
            <w:hyperlink r:id="rId17" w:history="1">
              <w:r w:rsidR="004C2D9A" w:rsidRPr="004C2D9A">
                <w:rPr>
                  <w:rStyle w:val="Hipervnculo"/>
                  <w:rFonts w:ascii="Verdana" w:hAnsi="Verdana"/>
                  <w:sz w:val="20"/>
                  <w:szCs w:val="20"/>
                </w:rPr>
                <w:t>https://www.exteriores.gob.es/Embajadas/ottawa/es/ViajarA/Paginas/Recomendaciones-de-viaje.aspx</w:t>
              </w:r>
            </w:hyperlink>
            <w:r w:rsidR="004C2D9A" w:rsidRPr="004C2D9A">
              <w:rPr>
                <w:rFonts w:ascii="Verdana" w:hAnsi="Verdana"/>
                <w:sz w:val="20"/>
                <w:szCs w:val="20"/>
              </w:rPr>
              <w:t xml:space="preserve"> </w:t>
            </w:r>
          </w:p>
        </w:tc>
      </w:tr>
    </w:tbl>
    <w:p w:rsidR="004A3BB9" w:rsidRDefault="004A3BB9">
      <w:pPr>
        <w:ind w:left="0" w:hanging="2"/>
        <w:jc w:val="both"/>
      </w:pPr>
    </w:p>
    <w:sectPr w:rsidR="004A3BB9">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B9"/>
    <w:rsid w:val="004A3BB9"/>
    <w:rsid w:val="004C2D9A"/>
    <w:rsid w:val="005B1852"/>
    <w:rsid w:val="00761142"/>
    <w:rsid w:val="007A3850"/>
    <w:rsid w:val="00AD1F03"/>
    <w:rsid w:val="00C53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4DBD"/>
  <w15:docId w15:val="{2563B831-95A6-4105-8F07-AD29BA11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BodyTextChar">
    <w:name w:val="Body Text Char"/>
    <w:rPr>
      <w:rFonts w:ascii="Verdana" w:eastAsia="Verdana" w:hAnsi="Verdana"/>
      <w:w w:val="100"/>
      <w:position w:val="-1"/>
      <w:effect w:val="none"/>
      <w:vertAlign w:val="baseline"/>
      <w:cs w:val="0"/>
      <w:em w:val="none"/>
    </w:rPr>
  </w:style>
  <w:style w:type="character" w:customStyle="1" w:styleId="region">
    <w:name w:val="region"/>
    <w:basedOn w:val="Fuentedeprrafopredeter"/>
    <w:rPr>
      <w:w w:val="100"/>
      <w:position w:val="-1"/>
      <w:effect w:val="none"/>
      <w:vertAlign w:val="baseline"/>
      <w:cs w:val="0"/>
      <w:em w:val="none"/>
    </w:rPr>
  </w:style>
  <w:style w:type="character" w:customStyle="1" w:styleId="TextoindependienteCar">
    <w:name w:val="Texto independiente Car"/>
    <w:rPr>
      <w:rFonts w:ascii="Verdana" w:eastAsia="Verdana" w:hAnsi="Verdana"/>
      <w:w w:val="100"/>
      <w:position w:val="-1"/>
      <w:effect w:val="none"/>
      <w:vertAlign w:val="baseline"/>
      <w:cs w:val="0"/>
      <w:em w:val="none"/>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eastAsia="en-US"/>
    </w:rPr>
  </w:style>
  <w:style w:type="character" w:styleId="Textoennegrita">
    <w:name w:val="Strong"/>
    <w:rPr>
      <w:b/>
      <w:b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4C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calgary.ca/future-students/undergraduate/international-students" TargetMode="External"/><Relationship Id="rId13" Type="http://schemas.openxmlformats.org/officeDocument/2006/relationships/hyperlink" Target="https://www.ucalgary.ca/student-services/iss/settling-calgary/hous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lgary.ca/" TargetMode="External"/><Relationship Id="rId12" Type="http://schemas.openxmlformats.org/officeDocument/2006/relationships/hyperlink" Target="http://www.ucalgary.ca/pubs/calendar/current/course-desc-main.html" TargetMode="External"/><Relationship Id="rId17" Type="http://schemas.openxmlformats.org/officeDocument/2006/relationships/hyperlink" Target="https://www.exteriores.gob.es/Embajadas/ottawa/es/ViajarA/Paginas/Recomendaciones-de-viaje.aspx" TargetMode="External"/><Relationship Id="rId2" Type="http://schemas.openxmlformats.org/officeDocument/2006/relationships/styles" Target="styles.xml"/><Relationship Id="rId16" Type="http://schemas.openxmlformats.org/officeDocument/2006/relationships/hyperlink" Target="https://www.ucalgary.ca/student-services/iss-old/resources/medical-insur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calgary.ca/pubs/calendar/current/academic-schedule.html" TargetMode="External"/><Relationship Id="rId5" Type="http://schemas.openxmlformats.org/officeDocument/2006/relationships/hyperlink" Target="mailto:mne@uc3m.es" TargetMode="External"/><Relationship Id="rId15" Type="http://schemas.openxmlformats.org/officeDocument/2006/relationships/hyperlink" Target="https://www.ucalgary.ca/student-services/iss/settling-calgary/housing/off-campus-housing" TargetMode="External"/><Relationship Id="rId10" Type="http://schemas.openxmlformats.org/officeDocument/2006/relationships/hyperlink" Target="https://www.ucalgary.ca/future-students/undergraduate/how-apply/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algary.ca/student-services/iss" TargetMode="External"/><Relationship Id="rId14" Type="http://schemas.openxmlformats.org/officeDocument/2006/relationships/hyperlink" Target="https://www.ucalgary.ca/student-services/iss/settling-calgary/housing/campus-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jFvLT4yuXzqg7bwlkbnEPa+yw==">AMUW2mW9NWpvPGQT+CBCCD4CL3QRRV+kw8MeeiOkeulsYLprIY/bZj5QFTb8orxy5FS7H7uE0JV7efmvn9zQpDNUOU6w+f+bcysAZ5XnEtqV53IquJ5qWDA=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2023-06-14T07:44:00Z</dcterms:created>
  <dcterms:modified xsi:type="dcterms:W3CDTF">2023-06-14T07:44:00Z</dcterms:modified>
</cp:coreProperties>
</file>